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028D" w14:textId="1616AEC0" w:rsidR="005F0A06" w:rsidRDefault="37E91EED" w:rsidP="29884DF0">
      <w:pPr>
        <w:widowControl w:val="0"/>
        <w:tabs>
          <w:tab w:val="right" w:pos="8787"/>
        </w:tabs>
        <w:spacing w:after="0" w:line="240" w:lineRule="auto"/>
        <w:jc w:val="both"/>
        <w:rPr>
          <w:rFonts w:ascii="Times New Roman" w:eastAsia="Times New Roman" w:hAnsi="Times New Roman"/>
          <w:color w:val="000000" w:themeColor="text1"/>
          <w:sz w:val="26"/>
          <w:szCs w:val="26"/>
        </w:rPr>
      </w:pPr>
      <w:r w:rsidRPr="29884DF0">
        <w:rPr>
          <w:rFonts w:ascii="Times New Roman" w:eastAsia="Times New Roman" w:hAnsi="Times New Roman"/>
          <w:color w:val="000000" w:themeColor="text1"/>
          <w:sz w:val="26"/>
          <w:szCs w:val="26"/>
        </w:rPr>
        <w:t>Excelentíssim</w:t>
      </w:r>
      <w:r w:rsidR="08990A29" w:rsidRPr="29884DF0">
        <w:rPr>
          <w:rFonts w:ascii="Times New Roman" w:eastAsia="Times New Roman" w:hAnsi="Times New Roman"/>
          <w:color w:val="000000" w:themeColor="text1"/>
          <w:sz w:val="26"/>
          <w:szCs w:val="26"/>
        </w:rPr>
        <w:t>o</w:t>
      </w:r>
      <w:r w:rsidRPr="29884DF0">
        <w:rPr>
          <w:rFonts w:ascii="Times New Roman" w:eastAsia="Times New Roman" w:hAnsi="Times New Roman"/>
          <w:color w:val="000000" w:themeColor="text1"/>
          <w:sz w:val="26"/>
          <w:szCs w:val="26"/>
        </w:rPr>
        <w:t xml:space="preserve"> Senhor </w:t>
      </w:r>
      <w:r w:rsidR="7FF65670" w:rsidRPr="29884DF0">
        <w:rPr>
          <w:rFonts w:ascii="Times New Roman" w:eastAsia="Times New Roman" w:hAnsi="Times New Roman"/>
          <w:color w:val="000000" w:themeColor="text1"/>
          <w:sz w:val="26"/>
          <w:szCs w:val="26"/>
        </w:rPr>
        <w:t>Juiz Diretor do Foro</w:t>
      </w:r>
    </w:p>
    <w:p w14:paraId="5B6BB121" w14:textId="51686EBA" w:rsidR="005F0A06" w:rsidRDefault="68D8E955" w:rsidP="29884DF0">
      <w:pPr>
        <w:widowControl w:val="0"/>
        <w:tabs>
          <w:tab w:val="right" w:pos="8787"/>
        </w:tabs>
        <w:spacing w:after="0" w:line="240" w:lineRule="auto"/>
        <w:jc w:val="both"/>
        <w:rPr>
          <w:rFonts w:ascii="Times New Roman" w:eastAsia="Times New Roman" w:hAnsi="Times New Roman"/>
        </w:rPr>
      </w:pPr>
      <w:r w:rsidRPr="29884DF0">
        <w:rPr>
          <w:rFonts w:ascii="Times New Roman" w:eastAsia="Times New Roman" w:hAnsi="Times New Roman"/>
          <w:color w:val="000000" w:themeColor="text1"/>
          <w:sz w:val="26"/>
          <w:szCs w:val="26"/>
        </w:rPr>
        <w:t xml:space="preserve">Juiz Federal </w:t>
      </w:r>
      <w:r w:rsidRPr="29884DF0">
        <w:rPr>
          <w:rFonts w:ascii="Times New Roman" w:eastAsia="Times New Roman" w:hAnsi="Times New Roman"/>
          <w:sz w:val="26"/>
          <w:szCs w:val="26"/>
        </w:rPr>
        <w:t>OSAIR VICTOR DE OLIVEIRA JUNIOR</w:t>
      </w:r>
    </w:p>
    <w:p w14:paraId="3254EB92" w14:textId="665A6090" w:rsidR="005F0A06" w:rsidRDefault="68D8E955" w:rsidP="29884DF0">
      <w:pPr>
        <w:widowControl w:val="0"/>
        <w:tabs>
          <w:tab w:val="right" w:pos="8787"/>
        </w:tabs>
        <w:spacing w:after="0" w:line="240" w:lineRule="auto"/>
        <w:jc w:val="both"/>
        <w:rPr>
          <w:rFonts w:ascii="Times New Roman" w:eastAsia="Times New Roman" w:hAnsi="Times New Roman"/>
          <w:b/>
          <w:bCs/>
          <w:color w:val="000000" w:themeColor="text1"/>
          <w:sz w:val="26"/>
          <w:szCs w:val="26"/>
        </w:rPr>
      </w:pPr>
      <w:r w:rsidRPr="29884DF0">
        <w:rPr>
          <w:rFonts w:ascii="Times New Roman" w:eastAsia="Times New Roman" w:hAnsi="Times New Roman"/>
          <w:b/>
          <w:bCs/>
          <w:color w:val="000000" w:themeColor="text1"/>
          <w:sz w:val="26"/>
          <w:szCs w:val="26"/>
        </w:rPr>
        <w:t>Seção Judiciária do Rio de Janeiro</w:t>
      </w:r>
    </w:p>
    <w:p w14:paraId="6A9B3A37" w14:textId="717B67E0" w:rsidR="005F0A06" w:rsidRDefault="37E91EED" w:rsidP="29884DF0">
      <w:pPr>
        <w:widowControl w:val="0"/>
        <w:tabs>
          <w:tab w:val="right" w:pos="8787"/>
        </w:tabs>
        <w:spacing w:after="0" w:line="240" w:lineRule="auto"/>
        <w:jc w:val="both"/>
        <w:rPr>
          <w:rFonts w:ascii="Times New Roman" w:eastAsia="Times New Roman" w:hAnsi="Times New Roman"/>
          <w:color w:val="000000" w:themeColor="text1"/>
          <w:sz w:val="26"/>
          <w:szCs w:val="26"/>
        </w:rPr>
      </w:pPr>
      <w:r w:rsidRPr="29884DF0">
        <w:rPr>
          <w:rFonts w:ascii="Times New Roman" w:eastAsia="Times New Roman" w:hAnsi="Times New Roman"/>
          <w:color w:val="000000" w:themeColor="text1"/>
          <w:sz w:val="26"/>
          <w:szCs w:val="26"/>
          <w:u w:val="single"/>
        </w:rPr>
        <w:t>Rio de Janeiro – RJ</w:t>
      </w:r>
    </w:p>
    <w:p w14:paraId="672A6659" w14:textId="3108D237" w:rsidR="005F0A06" w:rsidRDefault="005F0A06" w:rsidP="29884DF0">
      <w:pPr>
        <w:widowControl w:val="0"/>
        <w:tabs>
          <w:tab w:val="right" w:pos="8787"/>
        </w:tabs>
        <w:spacing w:after="0" w:line="240" w:lineRule="auto"/>
        <w:jc w:val="both"/>
        <w:rPr>
          <w:rFonts w:ascii="Times New Roman" w:hAnsi="Times New Roman"/>
          <w:sz w:val="26"/>
          <w:szCs w:val="26"/>
        </w:rPr>
      </w:pPr>
    </w:p>
    <w:p w14:paraId="0A37501D" w14:textId="77777777" w:rsidR="00C43815" w:rsidRPr="00C828E1" w:rsidRDefault="00C43815" w:rsidP="29884DF0">
      <w:pPr>
        <w:widowControl w:val="0"/>
        <w:spacing w:after="0" w:line="240" w:lineRule="auto"/>
        <w:ind w:left="1701"/>
        <w:jc w:val="both"/>
        <w:rPr>
          <w:rFonts w:ascii="Times New Roman" w:hAnsi="Times New Roman"/>
          <w:sz w:val="26"/>
          <w:szCs w:val="26"/>
        </w:rPr>
      </w:pPr>
    </w:p>
    <w:p w14:paraId="5DAB6C7B" w14:textId="77777777" w:rsidR="0061326D" w:rsidRPr="00C828E1" w:rsidRDefault="0061326D" w:rsidP="29884DF0">
      <w:pPr>
        <w:widowControl w:val="0"/>
        <w:spacing w:after="0" w:line="240" w:lineRule="auto"/>
        <w:ind w:left="1701"/>
        <w:jc w:val="both"/>
        <w:rPr>
          <w:rFonts w:ascii="Times New Roman" w:hAnsi="Times New Roman"/>
          <w:sz w:val="26"/>
          <w:szCs w:val="26"/>
        </w:rPr>
      </w:pPr>
    </w:p>
    <w:p w14:paraId="5E3A6DD7" w14:textId="3E1BC149" w:rsidR="1731BABC" w:rsidRDefault="175D5545" w:rsidP="6E1B75D1">
      <w:pPr>
        <w:spacing w:after="0" w:line="240" w:lineRule="auto"/>
        <w:ind w:left="1701"/>
        <w:jc w:val="both"/>
        <w:rPr>
          <w:rFonts w:ascii="Times New Roman" w:eastAsia="Times New Roman" w:hAnsi="Times New Roman"/>
          <w:b/>
          <w:bCs/>
          <w:color w:val="000000" w:themeColor="text1"/>
          <w:sz w:val="26"/>
          <w:szCs w:val="26"/>
        </w:rPr>
      </w:pPr>
      <w:r w:rsidRPr="6E1B75D1">
        <w:rPr>
          <w:rFonts w:ascii="Times New Roman" w:eastAsia="Times New Roman" w:hAnsi="Times New Roman"/>
          <w:b/>
          <w:bCs/>
          <w:color w:val="000000" w:themeColor="text1"/>
          <w:sz w:val="26"/>
          <w:szCs w:val="26"/>
        </w:rPr>
        <w:t>[</w:t>
      </w:r>
      <w:r w:rsidRPr="6E1B75D1">
        <w:rPr>
          <w:rFonts w:ascii="Times New Roman" w:eastAsia="Times New Roman" w:hAnsi="Times New Roman"/>
          <w:b/>
          <w:bCs/>
          <w:color w:val="000000" w:themeColor="text1"/>
          <w:sz w:val="26"/>
          <w:szCs w:val="26"/>
          <w:highlight w:val="yellow"/>
        </w:rPr>
        <w:t xml:space="preserve">Nº do </w:t>
      </w:r>
      <w:r w:rsidR="1731BABC" w:rsidRPr="6E1B75D1">
        <w:rPr>
          <w:rFonts w:ascii="Times New Roman" w:eastAsia="Times New Roman" w:hAnsi="Times New Roman"/>
          <w:b/>
          <w:bCs/>
          <w:color w:val="000000" w:themeColor="text1"/>
          <w:sz w:val="26"/>
          <w:szCs w:val="26"/>
          <w:highlight w:val="yellow"/>
        </w:rPr>
        <w:t>Processo</w:t>
      </w:r>
      <w:r w:rsidR="2ED6142E" w:rsidRPr="6E1B75D1">
        <w:rPr>
          <w:rFonts w:ascii="Times New Roman" w:eastAsia="Times New Roman" w:hAnsi="Times New Roman"/>
          <w:b/>
          <w:bCs/>
          <w:color w:val="000000" w:themeColor="text1"/>
          <w:sz w:val="26"/>
          <w:szCs w:val="26"/>
        </w:rPr>
        <w:t>]</w:t>
      </w:r>
    </w:p>
    <w:p w14:paraId="6A9B38A3" w14:textId="7232C957" w:rsidR="29884DF0" w:rsidRDefault="29884DF0" w:rsidP="29884DF0">
      <w:pPr>
        <w:spacing w:after="0" w:line="240" w:lineRule="auto"/>
        <w:ind w:left="1701"/>
        <w:jc w:val="both"/>
        <w:rPr>
          <w:rFonts w:ascii="Times New Roman" w:hAnsi="Times New Roman"/>
          <w:sz w:val="26"/>
          <w:szCs w:val="26"/>
        </w:rPr>
      </w:pPr>
    </w:p>
    <w:p w14:paraId="77BFB627" w14:textId="4DD39EBF" w:rsidR="0061326D" w:rsidRPr="00FD069C" w:rsidRDefault="00C918F4" w:rsidP="23C96B68">
      <w:pPr>
        <w:widowControl w:val="0"/>
        <w:spacing w:after="0" w:line="240" w:lineRule="auto"/>
        <w:ind w:left="1701"/>
        <w:jc w:val="both"/>
        <w:rPr>
          <w:rFonts w:ascii="Times New Roman" w:eastAsia="Times New Roman" w:hAnsi="Times New Roman"/>
        </w:rPr>
      </w:pPr>
      <w:r w:rsidRPr="23C96B68">
        <w:rPr>
          <w:rFonts w:ascii="Times New Roman" w:hAnsi="Times New Roman"/>
        </w:rPr>
        <w:t xml:space="preserve">Ementa: </w:t>
      </w:r>
      <w:r w:rsidR="2C6940DE" w:rsidRPr="23C96B68">
        <w:rPr>
          <w:rFonts w:ascii="Times New Roman" w:eastAsia="Times New Roman" w:hAnsi="Times New Roman"/>
          <w:color w:val="000000" w:themeColor="text1"/>
        </w:rPr>
        <w:t>GAE-VPNI. Descumprimento de decisão proferida no MS coletivo nº 0098714-30.2017.4.02.5101 e no AI nº 0003266-07.2017.4.02.000. Inobservância do posicionamento contemporâneo do Supremo Tribunal Federal. MS 36869, acórdãos em agravo regimental e embargos declaratórios que reconhecem a impossibilidade de corte remuneratório. Oficial de Justiça Avaliador Federal. Vantagem Pessoal Nominalmente Identificada, oriunda da incorporação dos quintos. Possibilidade de cumulação com Gratificação de Atividade Externa. Verbas de natureza distintas. Princípio da Legalidade. Violação à segurança jurídica. Vedação à aplicação retroativa de nova interpretação. Direito adquirido à cumulação. Decadência administrativa. Parcela compensatória. Reajustes futuros e não pretéritos.</w:t>
      </w:r>
    </w:p>
    <w:p w14:paraId="02EB378F" w14:textId="77777777" w:rsidR="00FD069C" w:rsidRPr="00C828E1" w:rsidRDefault="00FD069C" w:rsidP="29884DF0">
      <w:pPr>
        <w:widowControl w:val="0"/>
        <w:spacing w:after="0" w:line="240" w:lineRule="auto"/>
        <w:ind w:left="1701"/>
        <w:jc w:val="both"/>
        <w:rPr>
          <w:rFonts w:ascii="Times New Roman" w:hAnsi="Times New Roman"/>
          <w:sz w:val="26"/>
          <w:szCs w:val="26"/>
        </w:rPr>
      </w:pPr>
    </w:p>
    <w:p w14:paraId="6A05A809" w14:textId="77777777" w:rsidR="00FD7953" w:rsidRPr="00C828E1" w:rsidRDefault="00FD7953" w:rsidP="29884DF0">
      <w:pPr>
        <w:widowControl w:val="0"/>
        <w:spacing w:after="0" w:line="240" w:lineRule="auto"/>
        <w:ind w:left="1701"/>
        <w:jc w:val="both"/>
        <w:rPr>
          <w:rFonts w:ascii="Times New Roman" w:hAnsi="Times New Roman"/>
          <w:sz w:val="26"/>
          <w:szCs w:val="26"/>
        </w:rPr>
      </w:pPr>
    </w:p>
    <w:p w14:paraId="01811120" w14:textId="089F8C2C" w:rsidR="29884DF0" w:rsidRDefault="29884DF0" w:rsidP="29884DF0">
      <w:pPr>
        <w:spacing w:after="0" w:line="240" w:lineRule="auto"/>
        <w:ind w:left="1701"/>
        <w:jc w:val="both"/>
        <w:rPr>
          <w:rFonts w:ascii="Times New Roman" w:hAnsi="Times New Roman"/>
          <w:sz w:val="26"/>
          <w:szCs w:val="26"/>
        </w:rPr>
      </w:pPr>
    </w:p>
    <w:p w14:paraId="7AF08174" w14:textId="3BBA50D8" w:rsidR="005F0A06" w:rsidRDefault="6B00403E" w:rsidP="29884DF0">
      <w:pPr>
        <w:widowControl w:val="0"/>
        <w:spacing w:after="0" w:line="240" w:lineRule="auto"/>
        <w:ind w:firstLine="1701"/>
        <w:jc w:val="both"/>
        <w:rPr>
          <w:rFonts w:ascii="Times New Roman" w:hAnsi="Times New Roman"/>
          <w:sz w:val="26"/>
          <w:szCs w:val="26"/>
        </w:rPr>
      </w:pPr>
      <w:r w:rsidRPr="29884DF0">
        <w:rPr>
          <w:rFonts w:ascii="Times New Roman" w:hAnsi="Times New Roman"/>
          <w:sz w:val="26"/>
          <w:szCs w:val="26"/>
        </w:rPr>
        <w:t>[</w:t>
      </w:r>
      <w:r w:rsidRPr="6E1B75D1">
        <w:rPr>
          <w:rFonts w:ascii="Times New Roman" w:hAnsi="Times New Roman"/>
          <w:b/>
          <w:bCs/>
          <w:sz w:val="26"/>
          <w:szCs w:val="26"/>
          <w:highlight w:val="yellow"/>
        </w:rPr>
        <w:t>NOME COMPLETO</w:t>
      </w:r>
      <w:r w:rsidRPr="6E1B75D1">
        <w:rPr>
          <w:rFonts w:ascii="Times New Roman" w:hAnsi="Times New Roman"/>
          <w:b/>
          <w:bCs/>
          <w:sz w:val="26"/>
          <w:szCs w:val="26"/>
        </w:rPr>
        <w:t>]</w:t>
      </w:r>
      <w:r w:rsidRPr="29884DF0">
        <w:rPr>
          <w:rFonts w:ascii="Times New Roman" w:hAnsi="Times New Roman"/>
          <w:sz w:val="26"/>
          <w:szCs w:val="26"/>
        </w:rPr>
        <w:t xml:space="preserve">, </w:t>
      </w:r>
      <w:r w:rsidR="141BE858" w:rsidRPr="29884DF0">
        <w:rPr>
          <w:rFonts w:ascii="Times New Roman" w:hAnsi="Times New Roman"/>
          <w:sz w:val="26"/>
          <w:szCs w:val="26"/>
        </w:rPr>
        <w:t>devidamente qualificad</w:t>
      </w:r>
      <w:r w:rsidR="141BE858" w:rsidRPr="6E1B75D1">
        <w:rPr>
          <w:rFonts w:ascii="Times New Roman" w:hAnsi="Times New Roman"/>
          <w:sz w:val="26"/>
          <w:szCs w:val="26"/>
          <w:highlight w:val="yellow"/>
        </w:rPr>
        <w:t>o/a</w:t>
      </w:r>
      <w:r w:rsidR="141BE858" w:rsidRPr="29884DF0">
        <w:rPr>
          <w:rFonts w:ascii="Times New Roman" w:hAnsi="Times New Roman"/>
          <w:sz w:val="26"/>
          <w:szCs w:val="26"/>
        </w:rPr>
        <w:t xml:space="preserve"> nos autos do processo em epígrafe</w:t>
      </w:r>
      <w:r w:rsidRPr="29884DF0">
        <w:rPr>
          <w:rFonts w:ascii="Times New Roman" w:hAnsi="Times New Roman"/>
          <w:sz w:val="26"/>
          <w:szCs w:val="26"/>
        </w:rPr>
        <w:t xml:space="preserve">, apresenta </w:t>
      </w:r>
      <w:r w:rsidRPr="29884DF0">
        <w:rPr>
          <w:rFonts w:ascii="Times New Roman" w:hAnsi="Times New Roman"/>
          <w:b/>
          <w:bCs/>
          <w:sz w:val="26"/>
          <w:szCs w:val="26"/>
        </w:rPr>
        <w:t>RECURSO ADMINISTRATIVO</w:t>
      </w:r>
      <w:r w:rsidRPr="29884DF0">
        <w:rPr>
          <w:rFonts w:ascii="Times New Roman" w:hAnsi="Times New Roman"/>
          <w:sz w:val="26"/>
          <w:szCs w:val="26"/>
        </w:rPr>
        <w:t xml:space="preserve"> com pedido de </w:t>
      </w:r>
      <w:r w:rsidRPr="29884DF0">
        <w:rPr>
          <w:rFonts w:ascii="Times New Roman" w:hAnsi="Times New Roman"/>
          <w:b/>
          <w:bCs/>
          <w:sz w:val="26"/>
          <w:szCs w:val="26"/>
        </w:rPr>
        <w:t>EFEITO SUSPENSIVO</w:t>
      </w:r>
      <w:r w:rsidRPr="29884DF0">
        <w:rPr>
          <w:rFonts w:ascii="Times New Roman" w:hAnsi="Times New Roman"/>
          <w:sz w:val="26"/>
          <w:szCs w:val="26"/>
        </w:rPr>
        <w:t xml:space="preserve">, requerendo, caso antes não haja </w:t>
      </w:r>
      <w:r w:rsidRPr="29884DF0">
        <w:rPr>
          <w:rFonts w:ascii="Times New Roman" w:hAnsi="Times New Roman"/>
          <w:b/>
          <w:bCs/>
          <w:sz w:val="26"/>
          <w:szCs w:val="26"/>
        </w:rPr>
        <w:t>JUÍZO DE RECONSIDERAÇÃO</w:t>
      </w:r>
      <w:r w:rsidRPr="29884DF0">
        <w:rPr>
          <w:rFonts w:ascii="Times New Roman" w:hAnsi="Times New Roman"/>
          <w:sz w:val="26"/>
          <w:szCs w:val="26"/>
        </w:rPr>
        <w:t xml:space="preserve"> no prazo de 5 dias, a remessa do feito à autoridade superior, com fundamento no artigo 56 da Lei nº 9.784, de 1999</w:t>
      </w:r>
      <w:r w:rsidR="00AD5D17" w:rsidRPr="29884DF0">
        <w:rPr>
          <w:rStyle w:val="Refdenotaderodap"/>
          <w:rFonts w:ascii="Times New Roman" w:hAnsi="Times New Roman"/>
          <w:sz w:val="26"/>
          <w:szCs w:val="26"/>
        </w:rPr>
        <w:footnoteReference w:id="1"/>
      </w:r>
      <w:r w:rsidRPr="29884DF0">
        <w:rPr>
          <w:rFonts w:ascii="Times New Roman" w:hAnsi="Times New Roman"/>
          <w:sz w:val="26"/>
          <w:szCs w:val="26"/>
        </w:rPr>
        <w:t xml:space="preserve"> c/c artigo 108 da Lei nº 8.112, de 1990</w:t>
      </w:r>
      <w:r w:rsidR="00AD5D17" w:rsidRPr="29884DF0">
        <w:rPr>
          <w:rStyle w:val="Refdenotaderodap"/>
          <w:rFonts w:ascii="Times New Roman" w:hAnsi="Times New Roman"/>
          <w:sz w:val="26"/>
          <w:szCs w:val="26"/>
        </w:rPr>
        <w:footnoteReference w:id="2"/>
      </w:r>
      <w:r w:rsidR="09151E44" w:rsidRPr="29884DF0">
        <w:rPr>
          <w:rFonts w:ascii="Times New Roman" w:hAnsi="Times New Roman"/>
          <w:sz w:val="26"/>
          <w:szCs w:val="26"/>
        </w:rPr>
        <w:t xml:space="preserve"> e no inciso </w:t>
      </w:r>
      <w:r w:rsidR="3E9B3BA2" w:rsidRPr="29884DF0">
        <w:rPr>
          <w:rFonts w:ascii="Times New Roman" w:hAnsi="Times New Roman"/>
          <w:sz w:val="26"/>
          <w:szCs w:val="26"/>
        </w:rPr>
        <w:t>IV do artigo 52 do Regimento Interno do TRF2</w:t>
      </w:r>
      <w:r w:rsidR="00AD5D17" w:rsidRPr="29884DF0">
        <w:rPr>
          <w:rStyle w:val="Refdenotaderodap"/>
          <w:rFonts w:ascii="Times New Roman" w:hAnsi="Times New Roman"/>
          <w:sz w:val="26"/>
          <w:szCs w:val="26"/>
        </w:rPr>
        <w:footnoteReference w:id="3"/>
      </w:r>
      <w:r w:rsidRPr="29884DF0">
        <w:rPr>
          <w:rFonts w:ascii="Times New Roman" w:hAnsi="Times New Roman"/>
          <w:sz w:val="26"/>
          <w:szCs w:val="26"/>
        </w:rPr>
        <w:t>, pelos fatos e fundamentos que se seguem</w:t>
      </w:r>
      <w:r w:rsidR="447D9FE4" w:rsidRPr="29884DF0">
        <w:rPr>
          <w:rFonts w:ascii="Times New Roman" w:hAnsi="Times New Roman"/>
          <w:sz w:val="26"/>
          <w:szCs w:val="26"/>
        </w:rPr>
        <w:t>.</w:t>
      </w:r>
    </w:p>
    <w:p w14:paraId="20850D9E" w14:textId="78C0393C" w:rsidR="29884DF0" w:rsidRDefault="29884DF0" w:rsidP="29884DF0">
      <w:pPr>
        <w:spacing w:after="0" w:line="240" w:lineRule="auto"/>
        <w:ind w:firstLine="1701"/>
        <w:jc w:val="both"/>
        <w:rPr>
          <w:rFonts w:ascii="Times New Roman" w:hAnsi="Times New Roman"/>
          <w:sz w:val="26"/>
          <w:szCs w:val="26"/>
        </w:rPr>
      </w:pPr>
    </w:p>
    <w:p w14:paraId="3340D3BF" w14:textId="38983539" w:rsidR="29884DF0" w:rsidRDefault="29884DF0" w:rsidP="29884DF0">
      <w:pPr>
        <w:spacing w:after="0" w:line="240" w:lineRule="auto"/>
        <w:ind w:firstLine="1701"/>
        <w:jc w:val="both"/>
        <w:rPr>
          <w:rFonts w:ascii="Times New Roman" w:hAnsi="Times New Roman"/>
          <w:sz w:val="26"/>
          <w:szCs w:val="26"/>
        </w:rPr>
      </w:pPr>
    </w:p>
    <w:p w14:paraId="104BE530" w14:textId="2795DA54" w:rsidR="5B2158FA" w:rsidRDefault="3729727D" w:rsidP="29884DF0">
      <w:pPr>
        <w:spacing w:after="0" w:line="240" w:lineRule="auto"/>
        <w:ind w:firstLine="1701"/>
        <w:jc w:val="both"/>
        <w:rPr>
          <w:rFonts w:ascii="Times New Roman" w:hAnsi="Times New Roman"/>
          <w:sz w:val="26"/>
          <w:szCs w:val="26"/>
        </w:rPr>
      </w:pPr>
      <w:r w:rsidRPr="23C96B68">
        <w:rPr>
          <w:rFonts w:ascii="Times New Roman" w:hAnsi="Times New Roman"/>
          <w:sz w:val="26"/>
          <w:szCs w:val="26"/>
        </w:rPr>
        <w:t>[</w:t>
      </w:r>
      <w:r w:rsidR="5B2158FA" w:rsidRPr="23C96B68">
        <w:rPr>
          <w:rFonts w:ascii="Times New Roman" w:hAnsi="Times New Roman"/>
          <w:sz w:val="26"/>
          <w:szCs w:val="26"/>
          <w:highlight w:val="yellow"/>
        </w:rPr>
        <w:t>Cidade</w:t>
      </w:r>
      <w:r w:rsidR="7AE644C8" w:rsidRPr="23C96B68">
        <w:rPr>
          <w:rFonts w:ascii="Times New Roman" w:hAnsi="Times New Roman"/>
          <w:sz w:val="26"/>
          <w:szCs w:val="26"/>
        </w:rPr>
        <w:t>]</w:t>
      </w:r>
      <w:r w:rsidR="5B2158FA" w:rsidRPr="23C96B68">
        <w:rPr>
          <w:rFonts w:ascii="Times New Roman" w:hAnsi="Times New Roman"/>
          <w:sz w:val="26"/>
          <w:szCs w:val="26"/>
        </w:rPr>
        <w:t>, [</w:t>
      </w:r>
      <w:r w:rsidR="5B2158FA" w:rsidRPr="23C96B68">
        <w:rPr>
          <w:rFonts w:ascii="Times New Roman" w:hAnsi="Times New Roman"/>
          <w:sz w:val="26"/>
          <w:szCs w:val="26"/>
          <w:highlight w:val="yellow"/>
        </w:rPr>
        <w:t>data</w:t>
      </w:r>
      <w:r w:rsidR="5B2158FA" w:rsidRPr="23C96B68">
        <w:rPr>
          <w:rFonts w:ascii="Times New Roman" w:hAnsi="Times New Roman"/>
          <w:sz w:val="26"/>
          <w:szCs w:val="26"/>
        </w:rPr>
        <w:t>] de 2021.</w:t>
      </w:r>
    </w:p>
    <w:p w14:paraId="42EBEE71" w14:textId="05102E41" w:rsidR="5B2158FA" w:rsidRDefault="5B2158FA" w:rsidP="29884DF0">
      <w:pPr>
        <w:spacing w:after="0" w:line="240" w:lineRule="auto"/>
        <w:ind w:firstLine="1701"/>
        <w:jc w:val="both"/>
        <w:rPr>
          <w:rFonts w:ascii="Times New Roman" w:hAnsi="Times New Roman"/>
          <w:sz w:val="26"/>
          <w:szCs w:val="26"/>
        </w:rPr>
      </w:pPr>
      <w:r w:rsidRPr="29884DF0">
        <w:rPr>
          <w:rFonts w:ascii="Times New Roman" w:hAnsi="Times New Roman"/>
          <w:sz w:val="26"/>
          <w:szCs w:val="26"/>
        </w:rPr>
        <w:t xml:space="preserve"> </w:t>
      </w:r>
    </w:p>
    <w:p w14:paraId="3F174255" w14:textId="03D7911E" w:rsidR="5B2158FA" w:rsidRDefault="5B2158FA" w:rsidP="6E1B75D1">
      <w:pPr>
        <w:spacing w:after="0" w:line="240" w:lineRule="auto"/>
        <w:ind w:firstLine="1701"/>
        <w:jc w:val="both"/>
        <w:rPr>
          <w:rFonts w:ascii="Times New Roman" w:hAnsi="Times New Roman"/>
          <w:b/>
          <w:bCs/>
          <w:sz w:val="26"/>
          <w:szCs w:val="26"/>
          <w:highlight w:val="yellow"/>
        </w:rPr>
      </w:pPr>
      <w:r w:rsidRPr="6E1B75D1">
        <w:rPr>
          <w:rFonts w:ascii="Times New Roman" w:hAnsi="Times New Roman"/>
          <w:b/>
          <w:bCs/>
          <w:sz w:val="26"/>
          <w:szCs w:val="26"/>
          <w:highlight w:val="yellow"/>
        </w:rPr>
        <w:t>Nome do</w:t>
      </w:r>
      <w:r w:rsidR="613FBF9D" w:rsidRPr="6E1B75D1">
        <w:rPr>
          <w:rFonts w:ascii="Times New Roman" w:hAnsi="Times New Roman"/>
          <w:b/>
          <w:bCs/>
          <w:sz w:val="26"/>
          <w:szCs w:val="26"/>
          <w:highlight w:val="yellow"/>
        </w:rPr>
        <w:t>/a</w:t>
      </w:r>
      <w:r w:rsidRPr="6E1B75D1">
        <w:rPr>
          <w:rFonts w:ascii="Times New Roman" w:hAnsi="Times New Roman"/>
          <w:b/>
          <w:bCs/>
          <w:sz w:val="26"/>
          <w:szCs w:val="26"/>
          <w:highlight w:val="yellow"/>
        </w:rPr>
        <w:t xml:space="preserve"> servidor</w:t>
      </w:r>
      <w:r w:rsidR="6CA8144C" w:rsidRPr="6E1B75D1">
        <w:rPr>
          <w:rFonts w:ascii="Times New Roman" w:hAnsi="Times New Roman"/>
          <w:b/>
          <w:bCs/>
          <w:sz w:val="26"/>
          <w:szCs w:val="26"/>
          <w:highlight w:val="yellow"/>
        </w:rPr>
        <w:t>(a)</w:t>
      </w:r>
    </w:p>
    <w:p w14:paraId="4A9DD422" w14:textId="491C85FE" w:rsidR="5B2158FA" w:rsidRDefault="5B2158FA" w:rsidP="29884DF0">
      <w:pPr>
        <w:spacing w:after="0" w:line="240" w:lineRule="auto"/>
        <w:ind w:firstLine="1701"/>
        <w:jc w:val="both"/>
        <w:rPr>
          <w:rFonts w:ascii="Times New Roman" w:hAnsi="Times New Roman"/>
          <w:sz w:val="26"/>
          <w:szCs w:val="26"/>
        </w:rPr>
      </w:pPr>
      <w:r w:rsidRPr="29884DF0">
        <w:rPr>
          <w:rFonts w:ascii="Times New Roman" w:hAnsi="Times New Roman"/>
          <w:sz w:val="26"/>
          <w:szCs w:val="26"/>
        </w:rPr>
        <w:t>Matrícula</w:t>
      </w:r>
    </w:p>
    <w:p w14:paraId="72031CD2" w14:textId="4C5EDDB7" w:rsidR="29884DF0" w:rsidRDefault="29884DF0">
      <w:r>
        <w:br w:type="page"/>
      </w:r>
    </w:p>
    <w:p w14:paraId="110D1FB1" w14:textId="37BF7E61" w:rsidR="7E6786B6" w:rsidRDefault="7E6786B6" w:rsidP="29884DF0">
      <w:pPr>
        <w:tabs>
          <w:tab w:val="right" w:pos="8787"/>
        </w:tabs>
        <w:spacing w:after="0" w:line="240" w:lineRule="auto"/>
        <w:jc w:val="both"/>
        <w:rPr>
          <w:rFonts w:ascii="Times New Roman" w:eastAsia="Times New Roman" w:hAnsi="Times New Roman"/>
          <w:color w:val="000000" w:themeColor="text1"/>
          <w:sz w:val="26"/>
          <w:szCs w:val="26"/>
        </w:rPr>
      </w:pPr>
      <w:r w:rsidRPr="29884DF0">
        <w:rPr>
          <w:rFonts w:ascii="Times New Roman" w:eastAsia="Times New Roman" w:hAnsi="Times New Roman"/>
          <w:color w:val="000000" w:themeColor="text1"/>
          <w:sz w:val="26"/>
          <w:szCs w:val="26"/>
        </w:rPr>
        <w:lastRenderedPageBreak/>
        <w:t>Excelentíssimo(a) Senhor(a) Desembargador(a)</w:t>
      </w:r>
    </w:p>
    <w:p w14:paraId="5C47C1FF" w14:textId="67C574E2" w:rsidR="7E6786B6" w:rsidRDefault="7E6786B6" w:rsidP="29884DF0">
      <w:pPr>
        <w:tabs>
          <w:tab w:val="right" w:pos="8787"/>
        </w:tabs>
        <w:spacing w:after="0" w:line="240" w:lineRule="auto"/>
        <w:jc w:val="both"/>
        <w:rPr>
          <w:rFonts w:ascii="Times New Roman" w:eastAsia="Times New Roman" w:hAnsi="Times New Roman"/>
          <w:color w:val="000000" w:themeColor="text1"/>
          <w:sz w:val="26"/>
          <w:szCs w:val="26"/>
        </w:rPr>
      </w:pPr>
      <w:r w:rsidRPr="29884DF0">
        <w:rPr>
          <w:rFonts w:ascii="Times New Roman" w:eastAsia="Times New Roman" w:hAnsi="Times New Roman"/>
          <w:color w:val="000000" w:themeColor="text1"/>
          <w:sz w:val="26"/>
          <w:szCs w:val="26"/>
        </w:rPr>
        <w:t>Conselho de Administração</w:t>
      </w:r>
    </w:p>
    <w:p w14:paraId="50D97FF5" w14:textId="46A443EF" w:rsidR="7E6786B6" w:rsidRDefault="7E6786B6" w:rsidP="29884DF0">
      <w:pPr>
        <w:tabs>
          <w:tab w:val="right" w:pos="8787"/>
        </w:tabs>
        <w:spacing w:after="0" w:line="240" w:lineRule="auto"/>
        <w:jc w:val="both"/>
        <w:rPr>
          <w:rFonts w:ascii="Times New Roman" w:eastAsia="Times New Roman" w:hAnsi="Times New Roman"/>
          <w:color w:val="000000" w:themeColor="text1"/>
          <w:sz w:val="26"/>
          <w:szCs w:val="26"/>
        </w:rPr>
      </w:pPr>
      <w:r w:rsidRPr="29884DF0">
        <w:rPr>
          <w:rFonts w:ascii="Times New Roman" w:eastAsia="Times New Roman" w:hAnsi="Times New Roman"/>
          <w:b/>
          <w:bCs/>
          <w:color w:val="000000" w:themeColor="text1"/>
          <w:sz w:val="26"/>
          <w:szCs w:val="26"/>
        </w:rPr>
        <w:t>Tribunal Regional Federal da 2ª Região</w:t>
      </w:r>
    </w:p>
    <w:p w14:paraId="3B2B9C85" w14:textId="717B67E0" w:rsidR="7E6786B6" w:rsidRDefault="7E6786B6" w:rsidP="29884DF0">
      <w:pPr>
        <w:tabs>
          <w:tab w:val="right" w:pos="8787"/>
        </w:tabs>
        <w:spacing w:after="0" w:line="240" w:lineRule="auto"/>
        <w:jc w:val="both"/>
        <w:rPr>
          <w:rFonts w:ascii="Times New Roman" w:eastAsia="Times New Roman" w:hAnsi="Times New Roman"/>
          <w:color w:val="000000" w:themeColor="text1"/>
          <w:sz w:val="26"/>
          <w:szCs w:val="26"/>
        </w:rPr>
      </w:pPr>
      <w:r w:rsidRPr="29884DF0">
        <w:rPr>
          <w:rFonts w:ascii="Times New Roman" w:eastAsia="Times New Roman" w:hAnsi="Times New Roman"/>
          <w:color w:val="000000" w:themeColor="text1"/>
          <w:sz w:val="26"/>
          <w:szCs w:val="26"/>
          <w:u w:val="single"/>
        </w:rPr>
        <w:t>Rio de Janeiro – RJ</w:t>
      </w:r>
    </w:p>
    <w:p w14:paraId="0CF3DA46" w14:textId="47D28581" w:rsidR="29884DF0" w:rsidRDefault="29884DF0" w:rsidP="29884DF0">
      <w:pPr>
        <w:spacing w:after="0" w:line="240" w:lineRule="auto"/>
        <w:ind w:firstLine="1701"/>
        <w:jc w:val="both"/>
        <w:rPr>
          <w:rFonts w:ascii="Times New Roman" w:hAnsi="Times New Roman"/>
          <w:sz w:val="26"/>
          <w:szCs w:val="26"/>
        </w:rPr>
      </w:pPr>
    </w:p>
    <w:p w14:paraId="6B572F5E" w14:textId="1485C8A0" w:rsidR="6E1B75D1" w:rsidRDefault="6E1B75D1" w:rsidP="6E1B75D1">
      <w:pPr>
        <w:spacing w:after="0" w:line="240" w:lineRule="auto"/>
        <w:ind w:firstLine="1701"/>
        <w:jc w:val="both"/>
        <w:rPr>
          <w:rFonts w:ascii="Times New Roman" w:hAnsi="Times New Roman"/>
          <w:sz w:val="26"/>
          <w:szCs w:val="26"/>
        </w:rPr>
      </w:pPr>
    </w:p>
    <w:p w14:paraId="0A58D672" w14:textId="4F5168B9" w:rsidR="6E1B75D1" w:rsidRDefault="6E1B75D1" w:rsidP="6E1B75D1">
      <w:pPr>
        <w:spacing w:after="0" w:line="240" w:lineRule="auto"/>
        <w:ind w:firstLine="1701"/>
        <w:jc w:val="both"/>
        <w:rPr>
          <w:rFonts w:ascii="Times New Roman" w:hAnsi="Times New Roman"/>
          <w:sz w:val="26"/>
          <w:szCs w:val="26"/>
        </w:rPr>
      </w:pPr>
    </w:p>
    <w:p w14:paraId="79589531" w14:textId="1D4A5EF6" w:rsidR="531ABE6F" w:rsidRDefault="531ABE6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w:t>
      </w:r>
      <w:r w:rsidRPr="6E1B75D1">
        <w:rPr>
          <w:rFonts w:ascii="Times New Roman" w:hAnsi="Times New Roman"/>
          <w:b/>
          <w:bCs/>
          <w:sz w:val="26"/>
          <w:szCs w:val="26"/>
          <w:highlight w:val="yellow"/>
        </w:rPr>
        <w:t>Nº do processo</w:t>
      </w:r>
      <w:r w:rsidRPr="6E1B75D1">
        <w:rPr>
          <w:rFonts w:ascii="Times New Roman" w:hAnsi="Times New Roman"/>
          <w:b/>
          <w:bCs/>
          <w:sz w:val="26"/>
          <w:szCs w:val="26"/>
        </w:rPr>
        <w:t>]</w:t>
      </w:r>
      <w:r w:rsidRPr="6E1B75D1">
        <w:rPr>
          <w:rFonts w:ascii="Times New Roman" w:hAnsi="Times New Roman"/>
          <w:sz w:val="26"/>
          <w:szCs w:val="26"/>
        </w:rPr>
        <w:t xml:space="preserve"> </w:t>
      </w:r>
    </w:p>
    <w:p w14:paraId="39E20747" w14:textId="521088E3" w:rsidR="6E1B75D1" w:rsidRDefault="6E1B75D1" w:rsidP="6E1B75D1">
      <w:pPr>
        <w:spacing w:after="0" w:line="240" w:lineRule="auto"/>
        <w:ind w:firstLine="1701"/>
        <w:jc w:val="both"/>
        <w:rPr>
          <w:rFonts w:ascii="Times New Roman" w:hAnsi="Times New Roman"/>
          <w:sz w:val="26"/>
          <w:szCs w:val="26"/>
        </w:rPr>
      </w:pPr>
    </w:p>
    <w:p w14:paraId="11B02CD6" w14:textId="75BD3774" w:rsidR="531ABE6F" w:rsidRDefault="531ABE6F" w:rsidP="6E1B75D1">
      <w:pPr>
        <w:spacing w:after="0" w:line="240" w:lineRule="auto"/>
        <w:ind w:firstLine="1701"/>
        <w:jc w:val="both"/>
        <w:rPr>
          <w:rFonts w:ascii="Times New Roman" w:hAnsi="Times New Roman"/>
          <w:sz w:val="26"/>
          <w:szCs w:val="26"/>
          <w:highlight w:val="yellow"/>
        </w:rPr>
      </w:pPr>
      <w:r w:rsidRPr="6E1B75D1">
        <w:rPr>
          <w:rFonts w:ascii="Times New Roman" w:hAnsi="Times New Roman"/>
          <w:sz w:val="26"/>
          <w:szCs w:val="26"/>
        </w:rPr>
        <w:t xml:space="preserve">Recorrente: </w:t>
      </w:r>
      <w:r w:rsidRPr="6E1B75D1">
        <w:rPr>
          <w:rFonts w:ascii="Times New Roman" w:hAnsi="Times New Roman"/>
          <w:sz w:val="26"/>
          <w:szCs w:val="26"/>
          <w:highlight w:val="yellow"/>
        </w:rPr>
        <w:t>Nome do</w:t>
      </w:r>
      <w:r w:rsidR="2904AD3B" w:rsidRPr="6E1B75D1">
        <w:rPr>
          <w:rFonts w:ascii="Times New Roman" w:hAnsi="Times New Roman"/>
          <w:sz w:val="26"/>
          <w:szCs w:val="26"/>
          <w:highlight w:val="yellow"/>
        </w:rPr>
        <w:t>/a</w:t>
      </w:r>
      <w:r w:rsidRPr="6E1B75D1">
        <w:rPr>
          <w:rFonts w:ascii="Times New Roman" w:hAnsi="Times New Roman"/>
          <w:sz w:val="26"/>
          <w:szCs w:val="26"/>
          <w:highlight w:val="yellow"/>
        </w:rPr>
        <w:t xml:space="preserve"> servidor</w:t>
      </w:r>
      <w:r w:rsidR="293DE27C" w:rsidRPr="6E1B75D1">
        <w:rPr>
          <w:rFonts w:ascii="Times New Roman" w:hAnsi="Times New Roman"/>
          <w:sz w:val="26"/>
          <w:szCs w:val="26"/>
          <w:highlight w:val="yellow"/>
        </w:rPr>
        <w:t>(a)</w:t>
      </w:r>
    </w:p>
    <w:p w14:paraId="108DC65A" w14:textId="40A432F5" w:rsidR="531ABE6F" w:rsidRDefault="531ABE6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Ato recorrido: Decisão do Diretor do Foro da SJRJ</w:t>
      </w:r>
    </w:p>
    <w:p w14:paraId="0036D2C0" w14:textId="23C7C77E" w:rsidR="6E1B75D1" w:rsidRDefault="6E1B75D1" w:rsidP="6E1B75D1">
      <w:pPr>
        <w:spacing w:after="0" w:line="240" w:lineRule="auto"/>
        <w:ind w:firstLine="1701"/>
        <w:jc w:val="both"/>
        <w:rPr>
          <w:rFonts w:ascii="Times New Roman" w:hAnsi="Times New Roman"/>
          <w:sz w:val="26"/>
          <w:szCs w:val="26"/>
        </w:rPr>
      </w:pPr>
    </w:p>
    <w:p w14:paraId="58E03A06" w14:textId="7668D923" w:rsidR="531ABE6F" w:rsidRDefault="531ABE6F" w:rsidP="6E1B75D1">
      <w:pPr>
        <w:spacing w:after="0" w:line="240" w:lineRule="auto"/>
        <w:ind w:left="1701"/>
        <w:jc w:val="both"/>
        <w:rPr>
          <w:rFonts w:ascii="Times New Roman" w:eastAsia="Times New Roman" w:hAnsi="Times New Roman"/>
        </w:rPr>
      </w:pPr>
      <w:r w:rsidRPr="6E1B75D1">
        <w:rPr>
          <w:rFonts w:ascii="Times New Roman" w:hAnsi="Times New Roman"/>
        </w:rPr>
        <w:t xml:space="preserve">Ementa: </w:t>
      </w:r>
      <w:r w:rsidR="04A6BF0D" w:rsidRPr="6E1B75D1">
        <w:rPr>
          <w:rFonts w:ascii="Times New Roman" w:eastAsia="Times New Roman" w:hAnsi="Times New Roman"/>
          <w:color w:val="000000" w:themeColor="text1"/>
        </w:rPr>
        <w:t>GAE-VPNI. Descumprimento de decisão proferida no MS coletivo nº 0098714-30.2017.4.02.5101 e no AI nº 0003266-07.2017.4.02.000. Inobservância do posicionamento contemporâneo do Supremo Tribunal Federal. MS 36869, acórdãos em agravo regimental e embargos declaratórios que reconhecem a impossibilidade de corte remuneratório. Oficial de Justiça Avaliador Federal. Vantagem Pessoal Nominalmente Identificada, oriunda da incorporação dos quintos. Possibilidade de cumulação com Gratificação de Atividade Externa. Verbas de natureza distintas. Princípio da Legalidade. Violação à segurança jurídica. Vedação à aplicação retroativa de nova interpretação. Direito adquirido à cumulação. Decadência administrativa. Parcela compensatória. Reajustes futuros e não pretéritos.</w:t>
      </w:r>
    </w:p>
    <w:p w14:paraId="42042743" w14:textId="7519A837" w:rsidR="6E1B75D1" w:rsidRDefault="6E1B75D1" w:rsidP="6E1B75D1">
      <w:pPr>
        <w:spacing w:after="0" w:line="240" w:lineRule="auto"/>
        <w:ind w:firstLine="1701"/>
        <w:jc w:val="both"/>
        <w:rPr>
          <w:rFonts w:ascii="Times New Roman" w:hAnsi="Times New Roman"/>
          <w:sz w:val="26"/>
          <w:szCs w:val="26"/>
        </w:rPr>
      </w:pPr>
    </w:p>
    <w:p w14:paraId="337B9D25" w14:textId="59B1B16E" w:rsidR="6E1B75D1" w:rsidRDefault="6E1B75D1" w:rsidP="6E1B75D1">
      <w:pPr>
        <w:spacing w:after="0" w:line="240" w:lineRule="auto"/>
        <w:ind w:firstLine="1701"/>
        <w:jc w:val="both"/>
        <w:rPr>
          <w:rFonts w:ascii="Times New Roman" w:hAnsi="Times New Roman"/>
          <w:sz w:val="26"/>
          <w:szCs w:val="26"/>
        </w:rPr>
      </w:pPr>
    </w:p>
    <w:p w14:paraId="0BB91B33" w14:textId="178D67BC" w:rsidR="6E1B75D1" w:rsidRDefault="6E1B75D1" w:rsidP="6E1B75D1">
      <w:pPr>
        <w:spacing w:after="0" w:line="240" w:lineRule="auto"/>
        <w:ind w:firstLine="1701"/>
        <w:jc w:val="both"/>
        <w:rPr>
          <w:rFonts w:ascii="Times New Roman" w:hAnsi="Times New Roman"/>
          <w:sz w:val="26"/>
          <w:szCs w:val="26"/>
        </w:rPr>
      </w:pPr>
    </w:p>
    <w:p w14:paraId="3B63FDAE" w14:textId="3409052B" w:rsidR="04A6BF0D" w:rsidRDefault="04A6BF0D"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b/>
          <w:bCs/>
          <w:color w:val="000000" w:themeColor="text1"/>
          <w:sz w:val="26"/>
          <w:szCs w:val="26"/>
        </w:rPr>
        <w:t>Excelências</w:t>
      </w:r>
      <w:r w:rsidRPr="6E1B75D1">
        <w:rPr>
          <w:rFonts w:ascii="Times New Roman" w:eastAsia="Times New Roman" w:hAnsi="Times New Roman"/>
          <w:color w:val="000000" w:themeColor="text1"/>
          <w:sz w:val="26"/>
          <w:szCs w:val="26"/>
        </w:rPr>
        <w:t>,</w:t>
      </w:r>
    </w:p>
    <w:p w14:paraId="7F683DE2" w14:textId="22E35AD4" w:rsidR="6E1B75D1" w:rsidRDefault="6E1B75D1" w:rsidP="6E1B75D1">
      <w:pPr>
        <w:spacing w:after="0" w:line="240" w:lineRule="auto"/>
        <w:ind w:firstLine="1701"/>
        <w:jc w:val="both"/>
        <w:rPr>
          <w:rFonts w:ascii="Times New Roman" w:eastAsia="Times New Roman" w:hAnsi="Times New Roman"/>
          <w:color w:val="000000" w:themeColor="text1"/>
          <w:sz w:val="26"/>
          <w:szCs w:val="26"/>
        </w:rPr>
      </w:pPr>
    </w:p>
    <w:p w14:paraId="6CDAAAC0" w14:textId="318CF6CF" w:rsidR="04A6BF0D" w:rsidRDefault="04A6BF0D" w:rsidP="6E1B75D1">
      <w:pPr>
        <w:spacing w:after="0" w:line="240" w:lineRule="auto"/>
        <w:ind w:firstLine="1701"/>
        <w:jc w:val="both"/>
        <w:rPr>
          <w:rFonts w:ascii="Times New Roman" w:eastAsia="Times New Roman" w:hAnsi="Times New Roman"/>
        </w:rPr>
      </w:pPr>
      <w:r w:rsidRPr="6E1B75D1">
        <w:rPr>
          <w:rFonts w:ascii="Times New Roman" w:eastAsia="Times New Roman" w:hAnsi="Times New Roman"/>
          <w:color w:val="000000" w:themeColor="text1"/>
          <w:sz w:val="26"/>
          <w:szCs w:val="26"/>
        </w:rPr>
        <w:t>A decisão recorrida merece ser reformada, pois não se conforma com a melhor solução prevista em Direito, tendo em vista</w:t>
      </w:r>
      <w:r w:rsidR="1DEBEF7A" w:rsidRPr="6E1B75D1">
        <w:rPr>
          <w:rFonts w:ascii="Times New Roman" w:eastAsia="Times New Roman" w:hAnsi="Times New Roman"/>
          <w:color w:val="000000" w:themeColor="text1"/>
          <w:sz w:val="26"/>
          <w:szCs w:val="26"/>
        </w:rPr>
        <w:t xml:space="preserve"> que além de a cumulação ser legal, está protegida pela decadência administrativa e pelos princípios que garantem a segurança jurídica das situações já consolidadas.</w:t>
      </w:r>
    </w:p>
    <w:p w14:paraId="0C6AA394" w14:textId="0AAFFFB0" w:rsidR="6E1B75D1" w:rsidRDefault="6E1B75D1" w:rsidP="6E1B75D1">
      <w:pPr>
        <w:spacing w:after="0" w:line="240" w:lineRule="auto"/>
        <w:ind w:firstLine="1701"/>
        <w:jc w:val="both"/>
        <w:rPr>
          <w:rFonts w:ascii="Times New Roman" w:hAnsi="Times New Roman"/>
          <w:sz w:val="26"/>
          <w:szCs w:val="26"/>
        </w:rPr>
      </w:pPr>
    </w:p>
    <w:p w14:paraId="459BD696" w14:textId="00C60C03" w:rsidR="04A6BF0D" w:rsidRDefault="04A6BF0D" w:rsidP="6E1B75D1">
      <w:pPr>
        <w:spacing w:after="0" w:line="240" w:lineRule="auto"/>
        <w:jc w:val="both"/>
        <w:rPr>
          <w:rFonts w:ascii="Times New Roman" w:eastAsia="Times New Roman" w:hAnsi="Times New Roman"/>
          <w:sz w:val="26"/>
          <w:szCs w:val="26"/>
        </w:rPr>
      </w:pPr>
      <w:r w:rsidRPr="6E1B75D1">
        <w:rPr>
          <w:rFonts w:ascii="Times New Roman" w:hAnsi="Times New Roman"/>
          <w:b/>
          <w:bCs/>
          <w:sz w:val="26"/>
          <w:szCs w:val="26"/>
        </w:rPr>
        <w:t xml:space="preserve">1. </w:t>
      </w:r>
      <w:r w:rsidR="5188D319" w:rsidRPr="6E1B75D1">
        <w:rPr>
          <w:rFonts w:ascii="Times New Roman" w:hAnsi="Times New Roman"/>
          <w:b/>
          <w:bCs/>
          <w:sz w:val="26"/>
          <w:szCs w:val="26"/>
          <w:u w:val="single"/>
        </w:rPr>
        <w:t>S</w:t>
      </w:r>
      <w:r w:rsidR="5188D319" w:rsidRPr="6E1B75D1">
        <w:rPr>
          <w:rFonts w:ascii="Times New Roman" w:eastAsia="Times New Roman" w:hAnsi="Times New Roman"/>
          <w:b/>
          <w:bCs/>
          <w:color w:val="000000" w:themeColor="text1"/>
          <w:sz w:val="26"/>
          <w:szCs w:val="26"/>
          <w:u w:val="single"/>
        </w:rPr>
        <w:t>ÍNTESE DO PROCESSO E DA DECISÃO RECORRIDA</w:t>
      </w:r>
    </w:p>
    <w:p w14:paraId="0E2A8C34" w14:textId="29885F58" w:rsidR="6E1B75D1" w:rsidRDefault="6E1B75D1" w:rsidP="6E1B75D1">
      <w:pPr>
        <w:spacing w:after="0" w:line="240" w:lineRule="auto"/>
        <w:ind w:firstLine="1701"/>
        <w:jc w:val="both"/>
        <w:rPr>
          <w:rFonts w:ascii="Times New Roman" w:hAnsi="Times New Roman"/>
          <w:sz w:val="26"/>
          <w:szCs w:val="26"/>
        </w:rPr>
      </w:pPr>
    </w:p>
    <w:p w14:paraId="62B435FB" w14:textId="225DE353"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highlight w:val="yellow"/>
        </w:rPr>
        <w:t>O</w:t>
      </w:r>
      <w:r w:rsidR="6A5FC809" w:rsidRPr="6E1B75D1">
        <w:rPr>
          <w:rFonts w:ascii="Times New Roman" w:hAnsi="Times New Roman"/>
          <w:sz w:val="26"/>
          <w:szCs w:val="26"/>
          <w:highlight w:val="yellow"/>
        </w:rPr>
        <w:t>/A</w:t>
      </w:r>
      <w:r w:rsidRPr="6E1B75D1">
        <w:rPr>
          <w:rFonts w:ascii="Times New Roman" w:hAnsi="Times New Roman"/>
          <w:sz w:val="26"/>
          <w:szCs w:val="26"/>
        </w:rPr>
        <w:t xml:space="preserve"> recorrente é Oficial de Justiça Avaliador Federal e recebe a Vantagem Pessoal Nominalmente Identificada (VPNI), oriunda da incorporação de quintos, há, pelo menos, mais de 10 (dez) anos, assim como percebem a Gratificação de Atividade Externa (GAE) pelo exercício do cargo de Oficial de Justiça.</w:t>
      </w:r>
    </w:p>
    <w:p w14:paraId="545DF249" w14:textId="2FE9D254"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87046FF" w14:textId="57BE473C"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Entretanto, em razão de “indícios de irregularidades” apontados pelo Tribunal de Contas da União no que se refere ao pagamento cumulado de ambas as parcelas, est</w:t>
      </w:r>
      <w:r w:rsidR="40920740" w:rsidRPr="6E1B75D1">
        <w:rPr>
          <w:rFonts w:ascii="Times New Roman" w:hAnsi="Times New Roman"/>
          <w:sz w:val="26"/>
          <w:szCs w:val="26"/>
        </w:rPr>
        <w:t>a Seção Judiciária</w:t>
      </w:r>
      <w:r w:rsidRPr="6E1B75D1">
        <w:rPr>
          <w:rFonts w:ascii="Times New Roman" w:hAnsi="Times New Roman"/>
          <w:sz w:val="26"/>
          <w:szCs w:val="26"/>
        </w:rPr>
        <w:t xml:space="preserve"> instaurou o presente processo administrativo, notificando o recorrente a se manifestar sobre a proposta apresentada pelo TCU, consistente na supressão das parcelas de quintos/décimos adquiridas em razão do </w:t>
      </w:r>
      <w:r w:rsidRPr="6E1B75D1">
        <w:rPr>
          <w:rFonts w:ascii="Times New Roman" w:hAnsi="Times New Roman"/>
          <w:sz w:val="26"/>
          <w:szCs w:val="26"/>
        </w:rPr>
        <w:lastRenderedPageBreak/>
        <w:t>exercício de funções típicas de oficial de justiça ou transformação delas em parcelas compensatórias, caso não tenham sido absorvidas pelos aumentos ocorridos nos últimos cinco anos.</w:t>
      </w:r>
    </w:p>
    <w:p w14:paraId="3976C31B" w14:textId="41471713"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20789A4" w14:textId="217B81F2" w:rsidR="29884DF0" w:rsidRDefault="44D7FF07"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Apresentada a defesa, sobreveio decisão </w:t>
      </w:r>
      <w:r w:rsidR="6A5978A3" w:rsidRPr="6E1B75D1">
        <w:rPr>
          <w:rFonts w:ascii="Times New Roman" w:hAnsi="Times New Roman"/>
          <w:sz w:val="26"/>
          <w:szCs w:val="26"/>
        </w:rPr>
        <w:t>indeferindo os pedidos formulados</w:t>
      </w:r>
      <w:r w:rsidR="60B87A80" w:rsidRPr="6E1B75D1">
        <w:rPr>
          <w:rFonts w:ascii="Times New Roman" w:hAnsi="Times New Roman"/>
          <w:sz w:val="26"/>
          <w:szCs w:val="26"/>
        </w:rPr>
        <w:t xml:space="preserve"> </w:t>
      </w:r>
      <w:r w:rsidR="6A5978A3" w:rsidRPr="6E1B75D1">
        <w:rPr>
          <w:rFonts w:ascii="Times New Roman" w:hAnsi="Times New Roman"/>
          <w:sz w:val="26"/>
          <w:szCs w:val="26"/>
        </w:rPr>
        <w:t xml:space="preserve">e </w:t>
      </w:r>
      <w:r w:rsidRPr="6E1B75D1">
        <w:rPr>
          <w:rFonts w:ascii="Times New Roman" w:hAnsi="Times New Roman"/>
          <w:sz w:val="26"/>
          <w:szCs w:val="26"/>
        </w:rPr>
        <w:t xml:space="preserve">determinando </w:t>
      </w:r>
      <w:r w:rsidR="703BDCE5" w:rsidRPr="6E1B75D1">
        <w:rPr>
          <w:rFonts w:ascii="Times New Roman" w:hAnsi="Times New Roman"/>
          <w:sz w:val="26"/>
          <w:szCs w:val="26"/>
        </w:rPr>
        <w:t>a imediata implementação dos ajustes na remuneração do</w:t>
      </w:r>
      <w:r w:rsidR="6BCFEC8F" w:rsidRPr="6E1B75D1">
        <w:rPr>
          <w:rFonts w:ascii="Times New Roman" w:hAnsi="Times New Roman"/>
          <w:sz w:val="26"/>
          <w:szCs w:val="26"/>
        </w:rPr>
        <w:t>/a</w:t>
      </w:r>
      <w:r w:rsidR="703BDCE5" w:rsidRPr="6E1B75D1">
        <w:rPr>
          <w:rFonts w:ascii="Times New Roman" w:hAnsi="Times New Roman"/>
          <w:sz w:val="26"/>
          <w:szCs w:val="26"/>
        </w:rPr>
        <w:t xml:space="preserve"> servidor</w:t>
      </w:r>
      <w:r w:rsidR="0C72DE77" w:rsidRPr="6E1B75D1">
        <w:rPr>
          <w:rFonts w:ascii="Times New Roman" w:hAnsi="Times New Roman"/>
          <w:sz w:val="26"/>
          <w:szCs w:val="26"/>
        </w:rPr>
        <w:t>(a)</w:t>
      </w:r>
      <w:r w:rsidR="703BDCE5" w:rsidRPr="6E1B75D1">
        <w:rPr>
          <w:rFonts w:ascii="Times New Roman" w:hAnsi="Times New Roman"/>
          <w:sz w:val="26"/>
          <w:szCs w:val="26"/>
        </w:rPr>
        <w:t>, conforme se observa:</w:t>
      </w:r>
    </w:p>
    <w:p w14:paraId="03B59919" w14:textId="3666637A" w:rsidR="29884DF0" w:rsidRDefault="29884DF0" w:rsidP="6E1B75D1">
      <w:pPr>
        <w:spacing w:after="0" w:line="240" w:lineRule="auto"/>
        <w:ind w:firstLine="1701"/>
        <w:jc w:val="both"/>
        <w:rPr>
          <w:rFonts w:ascii="Times New Roman" w:hAnsi="Times New Roman"/>
        </w:rPr>
      </w:pPr>
    </w:p>
    <w:p w14:paraId="1EC7885E" w14:textId="1C59337C" w:rsidR="29884DF0" w:rsidRDefault="4155ABCD" w:rsidP="6E1B75D1">
      <w:pPr>
        <w:spacing w:after="0" w:line="240" w:lineRule="auto"/>
        <w:ind w:left="1701"/>
        <w:jc w:val="both"/>
      </w:pPr>
      <w:r w:rsidRPr="6E1B75D1">
        <w:rPr>
          <w:rFonts w:ascii="Times New Roman" w:eastAsia="Times New Roman" w:hAnsi="Times New Roman"/>
        </w:rPr>
        <w:t xml:space="preserve">No que se refere às razões de defesa, convém tecer as seguintes considerações. Inicialmente, vale transcrever os dispositivos dos votos proferidos em sede de apelação e embargos declaratórios, pela 5ª Turma Especializada do TRF da 2ª Região, no Mandado de Segurança Coletivo n° 0098714-30.2017.4.02.5101, cujo cumprimento ora se requer: </w:t>
      </w:r>
    </w:p>
    <w:p w14:paraId="557C4B5A" w14:textId="5F91644E" w:rsidR="29884DF0" w:rsidRDefault="4155ABCD" w:rsidP="6E1B75D1">
      <w:pPr>
        <w:spacing w:after="0" w:line="240" w:lineRule="auto"/>
        <w:ind w:left="2268"/>
        <w:jc w:val="both"/>
        <w:rPr>
          <w:rFonts w:ascii="Times New Roman" w:eastAsia="Times New Roman" w:hAnsi="Times New Roman"/>
        </w:rPr>
      </w:pPr>
      <w:r w:rsidRPr="6E1B75D1">
        <w:rPr>
          <w:rFonts w:ascii="Times New Roman" w:eastAsia="Times New Roman" w:hAnsi="Times New Roman"/>
        </w:rPr>
        <w:t xml:space="preserve">"Ante o exposto, dou provimento à apelação do SISEJUFE-RJ, deferindo a antecipação dos efeitos da tutela, bem como reformando a sentença de fls. 278/284, para </w:t>
      </w:r>
      <w:r w:rsidRPr="6E1B75D1">
        <w:rPr>
          <w:rFonts w:ascii="Times New Roman" w:eastAsia="Times New Roman" w:hAnsi="Times New Roman"/>
          <w:b/>
          <w:bCs/>
        </w:rPr>
        <w:t>determinar que a autoridade coatora se exima de exigir dos substituídos a opção entre a percepção da GAE e da VPNI</w:t>
      </w:r>
      <w:r w:rsidRPr="6E1B75D1">
        <w:rPr>
          <w:rFonts w:ascii="Times New Roman" w:eastAsia="Times New Roman" w:hAnsi="Times New Roman"/>
        </w:rPr>
        <w:t xml:space="preserve">, conforme postulado no presente mandamus." (Recurso Apelação - Data da decisão: 17 /06/2018, Rel. Des. Fed. Alcides Martins) </w:t>
      </w:r>
    </w:p>
    <w:p w14:paraId="6D2E7C93" w14:textId="43F1DBD3" w:rsidR="29884DF0" w:rsidRDefault="4155ABCD" w:rsidP="6E1B75D1">
      <w:pPr>
        <w:spacing w:after="0" w:line="240" w:lineRule="auto"/>
        <w:ind w:left="2268"/>
        <w:jc w:val="both"/>
        <w:rPr>
          <w:rFonts w:ascii="Times New Roman" w:eastAsia="Times New Roman" w:hAnsi="Times New Roman"/>
        </w:rPr>
      </w:pPr>
      <w:r w:rsidRPr="6E1B75D1">
        <w:rPr>
          <w:rFonts w:ascii="Times New Roman" w:eastAsia="Times New Roman" w:hAnsi="Times New Roman"/>
        </w:rPr>
        <w:t xml:space="preserve">"Ante o exposto, conheço e dou provimento aos embargos de declaração opostos pelo SISEJUFE, a fim de, saneando a omissão apontada, estender aos inativos </w:t>
      </w:r>
      <w:r w:rsidRPr="6E1B75D1">
        <w:rPr>
          <w:rFonts w:ascii="Times New Roman" w:eastAsia="Times New Roman" w:hAnsi="Times New Roman"/>
          <w:b/>
          <w:bCs/>
        </w:rPr>
        <w:t>o direito à acumulação da GAE e da VPNI</w:t>
      </w:r>
      <w:r w:rsidRPr="6E1B75D1">
        <w:rPr>
          <w:rFonts w:ascii="Times New Roman" w:eastAsia="Times New Roman" w:hAnsi="Times New Roman"/>
        </w:rPr>
        <w:t xml:space="preserve">, invalidando a opção firmada, bem como </w:t>
      </w:r>
      <w:r w:rsidRPr="6E1B75D1">
        <w:rPr>
          <w:rFonts w:ascii="Times New Roman" w:eastAsia="Times New Roman" w:hAnsi="Times New Roman"/>
          <w:b/>
          <w:bCs/>
        </w:rPr>
        <w:t>determinar o pagamento dos valores indevidamente suprimidos desde a data da impetração do presente mandamus.</w:t>
      </w:r>
      <w:r w:rsidRPr="6E1B75D1">
        <w:rPr>
          <w:rFonts w:ascii="Times New Roman" w:eastAsia="Times New Roman" w:hAnsi="Times New Roman"/>
        </w:rPr>
        <w:t>.." (Embargos de declaração - Data da decisão: 27/11/2018, Relator Des. Fed. Alcides Martins).</w:t>
      </w:r>
    </w:p>
    <w:p w14:paraId="3A6970F8" w14:textId="0C939931" w:rsidR="29884DF0" w:rsidRDefault="4155ABCD"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Tem-se, assim, que a prestação jurisdicional foi no sentido de determinar que a autoridade coatora se exima de exigir dos substituídos a realização de opção entre a percepção da GAE e da VPNI, quando relativa à incorporação de quintos decorrentes do exercício da função de oficial de justiça avaliador, estendendo aos inativos o direito à acumulação da GAE e da VPNI, invalidando a opção firmada.</w:t>
      </w:r>
    </w:p>
    <w:p w14:paraId="78D32B42" w14:textId="55BA0111" w:rsidR="29884DF0" w:rsidRDefault="4155ABCD"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Conforme asseverado pelo Presidente do e. TRF da 2ª Região, "o que o Judiciário assegura no writ coletivo é a cumulação de GAE e VPNI, afastando a necessidade de subscrição pelo servidor de termo de opção por esta ou aquela parcela estipendial, o que de modo algum implica impedimento para que a Administração, com o transcurso do tempo, e uma vez identificados reajustes, reorganizações ou reestruturações do cargo e da carreira, proceda à </w:t>
      </w:r>
      <w:r w:rsidRPr="6E1B75D1">
        <w:rPr>
          <w:rFonts w:ascii="Times New Roman" w:eastAsia="Times New Roman" w:hAnsi="Times New Roman"/>
          <w:b/>
          <w:bCs/>
        </w:rPr>
        <w:t>absorção da aludida parcela nos moldes propostos pelo TCU</w:t>
      </w:r>
      <w:r w:rsidRPr="6E1B75D1">
        <w:rPr>
          <w:rFonts w:ascii="Times New Roman" w:eastAsia="Times New Roman" w:hAnsi="Times New Roman"/>
        </w:rPr>
        <w:t xml:space="preserve">, diante dos indícios apontados e com amparo nos inúmeros acórdãos indicados no documento oficial por ele remetido ao TRF, preservando-se, sempre, o valor nominal dos vencimentos, o que tem respaldo no acima citado art. 103 do Decreto-Lei nº 200/67 e na jurisprudência sedimentada pela Suprema Corte no julgamento do Recurso Extraordinário nº 563.965, com repercussão geral reconhecida, como salientado alhures."(grifei) </w:t>
      </w:r>
    </w:p>
    <w:p w14:paraId="474011A6" w14:textId="0EAECA79" w:rsidR="29884DF0" w:rsidRDefault="4155ABCD"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No que concerne aos argumentos relativos à legalidade das parcelas, irredutibilidade de vencimentos e decadência, vale destacar que a </w:t>
      </w:r>
      <w:r w:rsidRPr="6E1B75D1">
        <w:rPr>
          <w:rFonts w:ascii="Times New Roman" w:eastAsia="Times New Roman" w:hAnsi="Times New Roman"/>
          <w:b/>
          <w:bCs/>
        </w:rPr>
        <w:t>absorção da VPNI - Vantagem Pessoal Nominalmente Identificada por reajustes posteriores à sua fixação</w:t>
      </w:r>
      <w:r w:rsidRPr="6E1B75D1">
        <w:rPr>
          <w:rFonts w:ascii="Times New Roman" w:eastAsia="Times New Roman" w:hAnsi="Times New Roman"/>
        </w:rPr>
        <w:t>, reorganizações ou reestruturações do cargo e da carreira está prevista no artigo 103 do Decreto-Lei nº 200/67:</w:t>
      </w:r>
      <w:r w:rsidR="406AF0CC" w:rsidRPr="6E1B75D1">
        <w:rPr>
          <w:rFonts w:ascii="Times New Roman" w:eastAsia="Times New Roman" w:hAnsi="Times New Roman"/>
        </w:rPr>
        <w:t xml:space="preserve"> [...]</w:t>
      </w:r>
    </w:p>
    <w:p w14:paraId="7132A01E" w14:textId="35160E8B" w:rsidR="29884DF0" w:rsidRDefault="406AF0CC"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lastRenderedPageBreak/>
        <w:t xml:space="preserve">Assim sendo, a compensação da VPNI encontra respaldo legal, desde que preservada a irredutibilidade dos vencimentos, nos termos do comando inserto no artigo 37, inciso XV, da Constituição Federal, </w:t>
      </w:r>
      <w:r w:rsidRPr="6E1B75D1">
        <w:rPr>
          <w:rFonts w:ascii="Times New Roman" w:eastAsia="Times New Roman" w:hAnsi="Times New Roman"/>
          <w:b/>
          <w:bCs/>
        </w:rPr>
        <w:t>devendo ser adotada, como já asseverado, a orientação do Tribunal de Contas da União,</w:t>
      </w:r>
      <w:r w:rsidRPr="6E1B75D1">
        <w:rPr>
          <w:rFonts w:ascii="Times New Roman" w:eastAsia="Times New Roman" w:hAnsi="Times New Roman"/>
        </w:rPr>
        <w:t xml:space="preserve"> órgão administrativo responsável pela fiscalização e controle externo da legalidade, legitimidade e economicidade das contas a cargo da administração pública federal. </w:t>
      </w:r>
    </w:p>
    <w:p w14:paraId="38F83C91" w14:textId="5733C93D" w:rsidR="29884DF0" w:rsidRDefault="406AF0CC"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A Administração pode - e deve - rever seus atos, quando eivados de ilegalidade, no exercício do poder de autotutela, não sendo outro o comando contido no enunciado da Súmula nº 473 do STF: [...]</w:t>
      </w:r>
    </w:p>
    <w:p w14:paraId="3E723B78" w14:textId="2DE3F716" w:rsidR="29884DF0" w:rsidRDefault="406AF0CC"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Destarte, uma vez identificado que a</w:t>
      </w:r>
      <w:r w:rsidRPr="6E1B75D1">
        <w:rPr>
          <w:rFonts w:ascii="Times New Roman" w:eastAsia="Times New Roman" w:hAnsi="Times New Roman"/>
          <w:b/>
          <w:bCs/>
        </w:rPr>
        <w:t xml:space="preserve"> cumulação das parcelas em análise remunera o servidor duplamente pelo mesmo fundamento</w:t>
      </w:r>
      <w:r w:rsidRPr="6E1B75D1">
        <w:rPr>
          <w:rFonts w:ascii="Times New Roman" w:eastAsia="Times New Roman" w:hAnsi="Times New Roman"/>
        </w:rPr>
        <w:t xml:space="preserve">, impõe-se a correção da irregularidade, mediante a </w:t>
      </w:r>
      <w:r w:rsidRPr="6E1B75D1">
        <w:rPr>
          <w:rFonts w:ascii="Times New Roman" w:eastAsia="Times New Roman" w:hAnsi="Times New Roman"/>
          <w:b/>
          <w:bCs/>
        </w:rPr>
        <w:t>supressão da VPNI oriunda da incorporação de FC-5</w:t>
      </w:r>
      <w:r w:rsidRPr="6E1B75D1">
        <w:rPr>
          <w:rFonts w:ascii="Times New Roman" w:eastAsia="Times New Roman" w:hAnsi="Times New Roman"/>
        </w:rPr>
        <w:t xml:space="preserve"> exclusiva do cargo de oficial de justiça, sob pena de enriquecimento ilícito. </w:t>
      </w:r>
    </w:p>
    <w:p w14:paraId="44EA539F" w14:textId="14A20D7D" w:rsidR="29884DF0" w:rsidRDefault="406AF0CC"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A fim de corrigir a irregularidade, </w:t>
      </w:r>
      <w:r w:rsidRPr="6E1B75D1">
        <w:rPr>
          <w:rFonts w:ascii="Times New Roman" w:eastAsia="Times New Roman" w:hAnsi="Times New Roman"/>
          <w:b/>
          <w:bCs/>
        </w:rPr>
        <w:t>foi facultada ao servidor, inicialmente, a opção por uma das verbas em comento, VPNI ou GAE</w:t>
      </w:r>
      <w:r w:rsidRPr="6E1B75D1">
        <w:rPr>
          <w:rFonts w:ascii="Times New Roman" w:eastAsia="Times New Roman" w:hAnsi="Times New Roman"/>
        </w:rPr>
        <w:t xml:space="preserve">. No entanto, posteriormente foi adotado o mecanismo da </w:t>
      </w:r>
      <w:r w:rsidRPr="6E1B75D1">
        <w:rPr>
          <w:rFonts w:ascii="Times New Roman" w:eastAsia="Times New Roman" w:hAnsi="Times New Roman"/>
          <w:b/>
          <w:bCs/>
        </w:rPr>
        <w:t>compensação,</w:t>
      </w:r>
      <w:r w:rsidRPr="6E1B75D1">
        <w:rPr>
          <w:rFonts w:ascii="Times New Roman" w:eastAsia="Times New Roman" w:hAnsi="Times New Roman"/>
        </w:rPr>
        <w:t xml:space="preserve"> segundo o qual, havendo leis publicadas nos últimos cinco anos que tenham reestruturado a carreira dos servidores beneficiados com o pagamento de rubrica de VPNI irregular, os respectivos valores serão absorvidos pelos aumentos concedidos em tais dispositivos legais. </w:t>
      </w:r>
    </w:p>
    <w:p w14:paraId="610C15A0" w14:textId="2AE65AF0" w:rsidR="29884DF0" w:rsidRDefault="406AF0CC"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Ao considerar que a decadência opera efeitos apenas sobre a estrutura vigente no momento em que é reconhecida, </w:t>
      </w:r>
      <w:r w:rsidRPr="6E1B75D1">
        <w:rPr>
          <w:rFonts w:ascii="Times New Roman" w:eastAsia="Times New Roman" w:hAnsi="Times New Roman"/>
          <w:b/>
          <w:bCs/>
        </w:rPr>
        <w:t>o Tribunal de Contas estabeleceu que a compensação deveria retroagir aos últimos 5 (cinco) anos</w:t>
      </w:r>
      <w:r w:rsidRPr="6E1B75D1">
        <w:rPr>
          <w:rFonts w:ascii="Times New Roman" w:eastAsia="Times New Roman" w:hAnsi="Times New Roman"/>
        </w:rPr>
        <w:t xml:space="preserve">, em observância à decadência </w:t>
      </w:r>
      <w:r w:rsidR="463F1BF4" w:rsidRPr="6E1B75D1">
        <w:rPr>
          <w:rFonts w:ascii="Times New Roman" w:eastAsia="Times New Roman" w:hAnsi="Times New Roman"/>
        </w:rPr>
        <w:t>administrativa. Com isso, eventuais aumentos salariais ocorridos nesse período promoveriam a correspondente redução das parcelas irregulares, até a sua completa extinção. Tal procedimento encontra paralelo no Acórdão 2602/2013 - Plenário, da lavra do Ministro Raimundo Carreiro, prolatado em 25/09/2013.</w:t>
      </w:r>
    </w:p>
    <w:p w14:paraId="6D2D0E77" w14:textId="72441FB3" w:rsidR="29884DF0" w:rsidRDefault="463F1BF4"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A sistemática afasta a ocorrência da decadência administrativa, pois, nos termos do entendimento do TCU, o reajuste dos vencimentos do cargo efetivo de Analista Judiciário/Oficial de Justiça Avaliador nos últimos 5 (cinco) anos superou o valor relativo à incorporação de 5/5 da função de executante de mandados (FC-5). </w:t>
      </w:r>
    </w:p>
    <w:p w14:paraId="3EE687D6" w14:textId="0966FB36" w:rsidR="29884DF0" w:rsidRDefault="463F1BF4"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Ressalte-se a inexistência de direito adquirido do servidor à forma de cálculo e composição das parcelas incorporadas às suas remunerações, como a VPNI, devendo ser respeitado, tão somente, o princípio constitucional da irredutibilidade de vencimentos. </w:t>
      </w:r>
    </w:p>
    <w:p w14:paraId="7BC8025A" w14:textId="2D4CA346" w:rsidR="29884DF0" w:rsidRDefault="463F1BF4"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No que tange à ausência de justa causa para o corte remuneratório, importa destacar que</w:t>
      </w:r>
      <w:r w:rsidRPr="6E1B75D1">
        <w:rPr>
          <w:rFonts w:ascii="Times New Roman" w:eastAsia="Times New Roman" w:hAnsi="Times New Roman"/>
          <w:b/>
          <w:bCs/>
        </w:rPr>
        <w:t xml:space="preserve"> não se conferiu efeito vinculante ao Acórdão 2784/2016,</w:t>
      </w:r>
      <w:r w:rsidRPr="6E1B75D1">
        <w:rPr>
          <w:rFonts w:ascii="Times New Roman" w:eastAsia="Times New Roman" w:hAnsi="Times New Roman"/>
        </w:rPr>
        <w:t xml:space="preserve"> uma vez que reiteradas decisões do TCU, afirmando a ilegalidade da cumulação, evidenciam seu entendimento de que a cumulação em exame representa duplicidade de remuneração.</w:t>
      </w:r>
    </w:p>
    <w:p w14:paraId="24B3F97B" w14:textId="4E5A2037" w:rsidR="29884DF0" w:rsidRDefault="0EF3C7F3"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Sobre a matéria, confira-se trechos de decisão administrativa proferida pelo Presidente do TRF da 2ª Região, em caso análogo ao presente:</w:t>
      </w:r>
    </w:p>
    <w:p w14:paraId="1180E97D" w14:textId="2D856E1C" w:rsidR="29884DF0" w:rsidRDefault="0EF3C7F3"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w:t>
      </w:r>
    </w:p>
    <w:p w14:paraId="59B3F491" w14:textId="3F7FC5C8" w:rsidR="29884DF0" w:rsidRDefault="24416F11" w:rsidP="6E1B75D1">
      <w:pPr>
        <w:spacing w:after="0" w:line="240" w:lineRule="auto"/>
        <w:ind w:left="1701"/>
        <w:jc w:val="both"/>
      </w:pPr>
      <w:r w:rsidRPr="23C96B68">
        <w:rPr>
          <w:rFonts w:ascii="Times New Roman" w:eastAsia="Times New Roman" w:hAnsi="Times New Roman"/>
        </w:rPr>
        <w:t xml:space="preserve">O pedido de sobrestamento dos processos administrativos que versem sobre a matéria não merece acolhida, porquanto representaria, em última análise, </w:t>
      </w:r>
      <w:r w:rsidRPr="23C96B68">
        <w:rPr>
          <w:rFonts w:ascii="Times New Roman" w:eastAsia="Times New Roman" w:hAnsi="Times New Roman"/>
          <w:b/>
          <w:bCs/>
        </w:rPr>
        <w:t>descumprimento das notificações encaminhadas pela Corte de Contas, para fins de apuração dos indícios de irregularidades em comento</w:t>
      </w:r>
      <w:r w:rsidRPr="23C96B68">
        <w:rPr>
          <w:rFonts w:ascii="Times New Roman" w:eastAsia="Times New Roman" w:hAnsi="Times New Roman"/>
        </w:rPr>
        <w:t xml:space="preserve">. </w:t>
      </w:r>
    </w:p>
    <w:p w14:paraId="0A9901AD" w14:textId="2EE76DF0" w:rsidR="29884DF0" w:rsidRDefault="24416F11"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lastRenderedPageBreak/>
        <w:t>A eventual alteração da orientação firmada pelo TCU há de ser adotada nos autos da Representação ajuizada perante aquela Corte, não dispondo este órgão de poder para determinar a suspensão dos processos administrativos deflagrados para correção de irregularidade apontada pelo referido Tribunal, no exercício de sua competência constitucional, estabelecida nos artigos 70 e 71 da Carta Magna.</w:t>
      </w:r>
    </w:p>
    <w:p w14:paraId="64A1AD37" w14:textId="66A99F10" w:rsidR="29884DF0" w:rsidRDefault="24416F11"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w:t>
      </w:r>
    </w:p>
    <w:p w14:paraId="7701474D" w14:textId="1431439E" w:rsidR="29884DF0" w:rsidRDefault="7C2924B5"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Isto posto, considerando os fundamentos expostos no Parecer nº JFRJ-PAR2021/00659, da Subsecretaria de Gestão de Pessoas, e a manifestação da Secretaria Geral, a qual ratifico, </w:t>
      </w:r>
      <w:r w:rsidRPr="6E1B75D1">
        <w:rPr>
          <w:rFonts w:ascii="Times New Roman" w:eastAsia="Times New Roman" w:hAnsi="Times New Roman"/>
          <w:b/>
          <w:bCs/>
        </w:rPr>
        <w:t>INDEFIRO os pedidos formulados pelo servidor em sua manifestação sobre a cumulação da GAE com a VPNI, nos termos da presente decisão, determinando a imediata implementação dos ajustes em sua remuneração,</w:t>
      </w:r>
      <w:r w:rsidRPr="6E1B75D1">
        <w:rPr>
          <w:rFonts w:ascii="Times New Roman" w:eastAsia="Times New Roman" w:hAnsi="Times New Roman"/>
        </w:rPr>
        <w:t xml:space="preserve"> corrigindo as irregularidades apontadas pelo Tribunal de Contas da União - TCU, em conformidade com o decidido pelo Conselho da Justiça Federal - CJF nos autos da CONSULTA Nº 0005894.06.2019.4.90.8000.</w:t>
      </w:r>
      <w:r w:rsidR="3AFE8592" w:rsidRPr="6E1B75D1">
        <w:rPr>
          <w:rFonts w:ascii="Times New Roman" w:eastAsia="Times New Roman" w:hAnsi="Times New Roman"/>
        </w:rPr>
        <w:t xml:space="preserve"> (</w:t>
      </w:r>
      <w:r w:rsidR="3AFE8592" w:rsidRPr="6E1B75D1">
        <w:rPr>
          <w:rFonts w:ascii="Times New Roman" w:eastAsia="Times New Roman" w:hAnsi="Times New Roman"/>
          <w:i/>
          <w:iCs/>
        </w:rPr>
        <w:t>grifou-se</w:t>
      </w:r>
      <w:r w:rsidR="3AFE8592" w:rsidRPr="6E1B75D1">
        <w:rPr>
          <w:rFonts w:ascii="Times New Roman" w:eastAsia="Times New Roman" w:hAnsi="Times New Roman"/>
        </w:rPr>
        <w:t>)</w:t>
      </w:r>
    </w:p>
    <w:p w14:paraId="660EF006" w14:textId="3987A9E1"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17B11E1" w14:textId="11FAE43D"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Ocorre que a cumulação é legal, devido à </w:t>
      </w:r>
      <w:r w:rsidRPr="6E1B75D1">
        <w:rPr>
          <w:rFonts w:ascii="Times New Roman" w:hAnsi="Times New Roman"/>
          <w:b/>
          <w:bCs/>
          <w:sz w:val="26"/>
          <w:szCs w:val="26"/>
        </w:rPr>
        <w:t>natureza distinta de ambas</w:t>
      </w:r>
      <w:r w:rsidRPr="6E1B75D1">
        <w:rPr>
          <w:rFonts w:ascii="Times New Roman" w:hAnsi="Times New Roman"/>
          <w:sz w:val="26"/>
          <w:szCs w:val="26"/>
        </w:rPr>
        <w:t xml:space="preserve"> as parcelas, além de não haver vedação na Lei 11.416/2006, que instituiu a GAE. Com efeito, a VPNI é oriunda da incorporação de quintos decorrentes do exercício de função comissionada, e a proibição decorrente do § 2º do artigo 16 da referida lei não se aplica à hipótese de incorporação.</w:t>
      </w:r>
    </w:p>
    <w:p w14:paraId="7845DA99" w14:textId="764E198B"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A572231" w14:textId="693DAB52"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Não fosse suficiente, o</w:t>
      </w:r>
      <w:r w:rsidR="0FE6C2BF" w:rsidRPr="6E1B75D1">
        <w:rPr>
          <w:rFonts w:ascii="Times New Roman" w:hAnsi="Times New Roman"/>
          <w:sz w:val="26"/>
          <w:szCs w:val="26"/>
        </w:rPr>
        <w:t>/a</w:t>
      </w:r>
      <w:r w:rsidRPr="6E1B75D1">
        <w:rPr>
          <w:rFonts w:ascii="Times New Roman" w:hAnsi="Times New Roman"/>
          <w:sz w:val="26"/>
          <w:szCs w:val="26"/>
        </w:rPr>
        <w:t xml:space="preserve"> recorrente possui o direito adquirido ao recebimento de ambas as parcelas, pois recebe a VPNI de quintos e a GAE cumulativamente há pelo menos 12 anos. </w:t>
      </w:r>
      <w:r w:rsidRPr="6E1B75D1">
        <w:rPr>
          <w:rFonts w:ascii="Times New Roman" w:hAnsi="Times New Roman"/>
          <w:b/>
          <w:bCs/>
          <w:sz w:val="26"/>
          <w:szCs w:val="26"/>
        </w:rPr>
        <w:t>Logo, o direito de a Administração rever seus atos foi atingido pela decadência</w:t>
      </w:r>
      <w:r w:rsidRPr="6E1B75D1">
        <w:rPr>
          <w:rFonts w:ascii="Times New Roman" w:hAnsi="Times New Roman"/>
          <w:sz w:val="26"/>
          <w:szCs w:val="26"/>
        </w:rPr>
        <w:t>.</w:t>
      </w:r>
    </w:p>
    <w:p w14:paraId="108AC1A0" w14:textId="67C00E9B"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84E2F68" w14:textId="0D78739A"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O equivocado entendimento da Corte de Contas, que sequer se dirigente ao</w:t>
      </w:r>
      <w:r w:rsidR="7E72204A" w:rsidRPr="6E1B75D1">
        <w:rPr>
          <w:rFonts w:ascii="Times New Roman" w:hAnsi="Times New Roman"/>
          <w:sz w:val="26"/>
          <w:szCs w:val="26"/>
        </w:rPr>
        <w:t>/à</w:t>
      </w:r>
      <w:r w:rsidRPr="6E1B75D1">
        <w:rPr>
          <w:rFonts w:ascii="Times New Roman" w:hAnsi="Times New Roman"/>
          <w:sz w:val="26"/>
          <w:szCs w:val="26"/>
        </w:rPr>
        <w:t xml:space="preserve"> recorrente, decorre do Acórdão 2.784/2016, por meio do qual apontou a impossibilidade de manter o ato de</w:t>
      </w:r>
      <w:r w:rsidRPr="6E1B75D1">
        <w:rPr>
          <w:rFonts w:ascii="Times New Roman" w:hAnsi="Times New Roman"/>
          <w:b/>
          <w:bCs/>
          <w:sz w:val="26"/>
          <w:szCs w:val="26"/>
        </w:rPr>
        <w:t xml:space="preserve"> aposentadoria</w:t>
      </w:r>
      <w:r w:rsidRPr="6E1B75D1">
        <w:rPr>
          <w:rFonts w:ascii="Times New Roman" w:hAnsi="Times New Roman"/>
          <w:sz w:val="26"/>
          <w:szCs w:val="26"/>
        </w:rPr>
        <w:t xml:space="preserve"> de 4 servidores ocupantes do cargo de Oficial de Justiça Avaliador Federal vinculados ao Tribunal Regional Federal da 2ª Região, com a percepção conjunta da GAE e da VPNI decorrente de quintos, quando esta tiver como origem Função Comissionada de nível 5 ou Gratificação de Representação de Gabinete (GRG).</w:t>
      </w:r>
    </w:p>
    <w:p w14:paraId="44B39B29" w14:textId="2A9076C1"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F24F979" w14:textId="63D6F4A2"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Contudo, tal entendimento não merece prosperar, notadamente porque o artigo 16, § 2º, da Lei 11.416/2006, não pode ser interpretado extensivamente para suprimir direitos, bem como porque a função de confiança que deu origem à VPNI de quintos incorporada pelos representados não possuía “caráter geral”, não sendo paga, portanto, indistintamente a todos os oficiais de justiça, e não se confundia com a destinação da Gratificação de Atividade Externa.</w:t>
      </w:r>
    </w:p>
    <w:p w14:paraId="21B7879D" w14:textId="2EE8647C"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D35E8C0" w14:textId="2CE6D8F3"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Bem por isso que vários Tribunais Regionais, instados pelo TCU a adotarem providências no sentido de apurar as supostas cumulações irregulares, vêm se manifestando pelo equívoco no entendimento da Corte de Contas. É o que demonstram pareceres de unidades técnicas e decisões/acórdãos (de Presidência ou </w:t>
      </w:r>
      <w:r w:rsidRPr="6E1B75D1">
        <w:rPr>
          <w:rFonts w:ascii="Times New Roman" w:hAnsi="Times New Roman"/>
          <w:sz w:val="26"/>
          <w:szCs w:val="26"/>
        </w:rPr>
        <w:lastRenderedPageBreak/>
        <w:t xml:space="preserve">Pleno) em via administrativa dos </w:t>
      </w:r>
      <w:r w:rsidRPr="6E1B75D1">
        <w:rPr>
          <w:rFonts w:ascii="Times New Roman" w:hAnsi="Times New Roman"/>
          <w:b/>
          <w:bCs/>
          <w:sz w:val="26"/>
          <w:szCs w:val="26"/>
        </w:rPr>
        <w:t>Tribunais Regionais Federais da 2ª, 3ª e 4ª Regiã</w:t>
      </w:r>
      <w:r w:rsidRPr="6E1B75D1">
        <w:rPr>
          <w:rFonts w:ascii="Times New Roman" w:hAnsi="Times New Roman"/>
          <w:sz w:val="26"/>
          <w:szCs w:val="26"/>
        </w:rPr>
        <w:t xml:space="preserve">o, bem como dos </w:t>
      </w:r>
      <w:r w:rsidRPr="6E1B75D1">
        <w:rPr>
          <w:rFonts w:ascii="Times New Roman" w:hAnsi="Times New Roman"/>
          <w:b/>
          <w:bCs/>
          <w:sz w:val="26"/>
          <w:szCs w:val="26"/>
        </w:rPr>
        <w:t>Tribunais Regionais do Trabalho da 4ª, 10ª, 11ª, 15ª, 17ª e 18ª Região</w:t>
      </w:r>
      <w:r w:rsidRPr="6E1B75D1">
        <w:rPr>
          <w:rFonts w:ascii="Times New Roman" w:hAnsi="Times New Roman"/>
          <w:sz w:val="26"/>
          <w:szCs w:val="26"/>
        </w:rPr>
        <w:t xml:space="preserve">, conforme demonstrado no tópico de precedentes administrativos deste mandado de segurança. Além disso, em acórdãos judiciais mais atuais e específicos sobre o tema, também decidiram a favor dos servidores o </w:t>
      </w:r>
      <w:r w:rsidRPr="6E1B75D1">
        <w:rPr>
          <w:rFonts w:ascii="Times New Roman" w:hAnsi="Times New Roman"/>
          <w:b/>
          <w:bCs/>
          <w:sz w:val="26"/>
          <w:szCs w:val="26"/>
        </w:rPr>
        <w:t>Supremo Tribunal Federal, Tribunal Regional Federal da 2ª Região, Tribunal Regional do Trabalho da 24ª Região e várias Seções Judiciárias da Justiça Federal</w:t>
      </w:r>
      <w:r w:rsidRPr="6E1B75D1">
        <w:rPr>
          <w:rFonts w:ascii="Times New Roman" w:hAnsi="Times New Roman"/>
          <w:sz w:val="26"/>
          <w:szCs w:val="26"/>
        </w:rPr>
        <w:t>, conforme citações no tópico sobre precedentes judiciais.</w:t>
      </w:r>
    </w:p>
    <w:p w14:paraId="15F5B4A6" w14:textId="0E2CFCC7" w:rsidR="29884DF0" w:rsidRDefault="513A6C0F"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577CB07" w14:textId="21748EA8" w:rsidR="29884DF0" w:rsidRDefault="513A6C0F" w:rsidP="6E1B75D1">
      <w:pPr>
        <w:spacing w:after="0" w:line="240" w:lineRule="auto"/>
        <w:ind w:firstLine="1701"/>
        <w:jc w:val="both"/>
        <w:rPr>
          <w:rFonts w:ascii="Times New Roman" w:hAnsi="Times New Roman"/>
          <w:sz w:val="26"/>
          <w:szCs w:val="26"/>
        </w:rPr>
      </w:pPr>
      <w:r w:rsidRPr="23C96B68">
        <w:rPr>
          <w:rFonts w:ascii="Times New Roman" w:hAnsi="Times New Roman"/>
          <w:sz w:val="26"/>
          <w:szCs w:val="26"/>
        </w:rPr>
        <w:t>Além de a cumulação ser legal, está protegida pela decadência administrativa e pelos princípios que garantem a segurança jurídica das situações já consolidadas.</w:t>
      </w:r>
    </w:p>
    <w:p w14:paraId="7446A67A" w14:textId="7EE3B0D8" w:rsidR="29884DF0" w:rsidRDefault="513A6C0F" w:rsidP="6E1B75D1">
      <w:pPr>
        <w:spacing w:after="0" w:line="240" w:lineRule="auto"/>
        <w:ind w:firstLine="1701"/>
        <w:jc w:val="both"/>
        <w:rPr>
          <w:rFonts w:ascii="Times New Roman" w:hAnsi="Times New Roman"/>
          <w:sz w:val="26"/>
          <w:szCs w:val="26"/>
        </w:rPr>
      </w:pPr>
      <w:r w:rsidRPr="23C96B68">
        <w:rPr>
          <w:rFonts w:ascii="Times New Roman" w:hAnsi="Times New Roman"/>
          <w:sz w:val="26"/>
          <w:szCs w:val="26"/>
        </w:rPr>
        <w:t xml:space="preserve"> </w:t>
      </w:r>
    </w:p>
    <w:p w14:paraId="7832CE8D" w14:textId="53805142" w:rsidR="29884DF0" w:rsidRDefault="513A6C0F" w:rsidP="6E1B75D1">
      <w:pPr>
        <w:spacing w:after="0" w:line="240" w:lineRule="auto"/>
        <w:ind w:firstLine="1701"/>
        <w:jc w:val="both"/>
        <w:rPr>
          <w:rFonts w:ascii="Times New Roman" w:hAnsi="Times New Roman"/>
          <w:sz w:val="26"/>
          <w:szCs w:val="26"/>
        </w:rPr>
      </w:pPr>
      <w:r w:rsidRPr="23C96B68">
        <w:rPr>
          <w:rFonts w:ascii="Times New Roman" w:hAnsi="Times New Roman"/>
          <w:sz w:val="26"/>
          <w:szCs w:val="26"/>
        </w:rPr>
        <w:t>Ademais, mesmo que equivocadamente não se entenda pela legalidade, o procedimento de apuração do próprio Tribunal de Contas da União indica que nenhuma das parcelas deve ser suprimida de imediato, devendo se converter uma das rubricas em parcelas compensatórias</w:t>
      </w:r>
      <w:r w:rsidR="18098B38" w:rsidRPr="23C96B68">
        <w:rPr>
          <w:rFonts w:ascii="Times New Roman" w:hAnsi="Times New Roman"/>
          <w:sz w:val="26"/>
          <w:szCs w:val="26"/>
        </w:rPr>
        <w:t xml:space="preserve"> </w:t>
      </w:r>
      <w:r w:rsidR="055FC508" w:rsidRPr="23C96B68">
        <w:rPr>
          <w:rFonts w:ascii="Times New Roman" w:hAnsi="Times New Roman"/>
          <w:sz w:val="26"/>
          <w:szCs w:val="26"/>
        </w:rPr>
        <w:t>a ser absorvida por reajustes futuros</w:t>
      </w:r>
      <w:r w:rsidRPr="23C96B68">
        <w:rPr>
          <w:rFonts w:ascii="Times New Roman" w:hAnsi="Times New Roman"/>
          <w:sz w:val="26"/>
          <w:szCs w:val="26"/>
        </w:rPr>
        <w:t>, para que haja respeito ao princípio da irredutibilidade de vencimentos</w:t>
      </w:r>
      <w:r w:rsidR="5929AA69" w:rsidRPr="23C96B68">
        <w:rPr>
          <w:rFonts w:ascii="Times New Roman" w:hAnsi="Times New Roman"/>
          <w:sz w:val="26"/>
          <w:szCs w:val="26"/>
        </w:rPr>
        <w:t>.</w:t>
      </w:r>
    </w:p>
    <w:p w14:paraId="4A9C393D" w14:textId="4E2843B0" w:rsidR="29884DF0" w:rsidRDefault="29884DF0" w:rsidP="6E1B75D1">
      <w:pPr>
        <w:spacing w:after="0" w:line="240" w:lineRule="auto"/>
        <w:ind w:firstLine="1701"/>
        <w:jc w:val="both"/>
        <w:rPr>
          <w:rFonts w:ascii="Times New Roman" w:hAnsi="Times New Roman"/>
          <w:sz w:val="26"/>
          <w:szCs w:val="26"/>
        </w:rPr>
      </w:pPr>
    </w:p>
    <w:p w14:paraId="4917D716" w14:textId="3A175A30" w:rsidR="29884DF0" w:rsidRDefault="7059C49F" w:rsidP="6E1B75D1">
      <w:pPr>
        <w:spacing w:after="0" w:line="240" w:lineRule="auto"/>
        <w:jc w:val="both"/>
        <w:rPr>
          <w:rFonts w:ascii="Times New Roman" w:eastAsia="Times New Roman" w:hAnsi="Times New Roman"/>
          <w:sz w:val="26"/>
          <w:szCs w:val="26"/>
        </w:rPr>
      </w:pPr>
      <w:r w:rsidRPr="23C96B68">
        <w:rPr>
          <w:rFonts w:ascii="Times New Roman" w:eastAsia="Times New Roman" w:hAnsi="Times New Roman"/>
          <w:b/>
          <w:bCs/>
          <w:color w:val="000000" w:themeColor="text1"/>
          <w:sz w:val="26"/>
          <w:szCs w:val="26"/>
        </w:rPr>
        <w:t xml:space="preserve">2. </w:t>
      </w:r>
      <w:r w:rsidRPr="23C96B68">
        <w:rPr>
          <w:rFonts w:ascii="Times New Roman" w:eastAsia="Times New Roman" w:hAnsi="Times New Roman"/>
          <w:b/>
          <w:bCs/>
          <w:color w:val="000000" w:themeColor="text1"/>
          <w:sz w:val="26"/>
          <w:szCs w:val="26"/>
          <w:u w:val="single"/>
        </w:rPr>
        <w:t>RAZÕES RECURSAIS</w:t>
      </w:r>
    </w:p>
    <w:p w14:paraId="260B0843" w14:textId="2F33F59E" w:rsidR="29884DF0" w:rsidRDefault="29884DF0" w:rsidP="6E1B75D1">
      <w:pPr>
        <w:spacing w:after="0" w:line="240" w:lineRule="auto"/>
        <w:ind w:firstLine="1701"/>
        <w:jc w:val="both"/>
        <w:rPr>
          <w:rFonts w:ascii="Times New Roman" w:hAnsi="Times New Roman"/>
          <w:sz w:val="26"/>
          <w:szCs w:val="26"/>
        </w:rPr>
      </w:pPr>
    </w:p>
    <w:p w14:paraId="7E6C85F2" w14:textId="36E026F9" w:rsidR="403F688F" w:rsidRDefault="403F688F" w:rsidP="23C96B68">
      <w:pPr>
        <w:spacing w:after="0" w:line="240" w:lineRule="auto"/>
        <w:jc w:val="both"/>
        <w:rPr>
          <w:rFonts w:ascii="Times New Roman" w:hAnsi="Times New Roman"/>
          <w:b/>
          <w:bCs/>
          <w:sz w:val="26"/>
          <w:szCs w:val="26"/>
          <w:u w:val="single"/>
        </w:rPr>
      </w:pPr>
      <w:r w:rsidRPr="23C96B68">
        <w:rPr>
          <w:rFonts w:ascii="Times New Roman" w:hAnsi="Times New Roman"/>
          <w:b/>
          <w:bCs/>
          <w:sz w:val="26"/>
          <w:szCs w:val="26"/>
        </w:rPr>
        <w:t>2.1</w:t>
      </w:r>
      <w:r w:rsidR="511857E5" w:rsidRPr="23C96B68">
        <w:rPr>
          <w:rFonts w:ascii="Times New Roman" w:hAnsi="Times New Roman"/>
          <w:b/>
          <w:bCs/>
          <w:sz w:val="26"/>
          <w:szCs w:val="26"/>
        </w:rPr>
        <w:t>.</w:t>
      </w:r>
      <w:r w:rsidRPr="23C96B68">
        <w:rPr>
          <w:rFonts w:ascii="Times New Roman" w:hAnsi="Times New Roman"/>
          <w:b/>
          <w:bCs/>
          <w:sz w:val="26"/>
          <w:szCs w:val="26"/>
        </w:rPr>
        <w:t xml:space="preserve"> </w:t>
      </w:r>
      <w:r w:rsidRPr="23C96B68">
        <w:rPr>
          <w:rFonts w:ascii="Times New Roman" w:hAnsi="Times New Roman"/>
          <w:b/>
          <w:bCs/>
          <w:sz w:val="26"/>
          <w:szCs w:val="26"/>
          <w:u w:val="single"/>
        </w:rPr>
        <w:t>Da</w:t>
      </w:r>
      <w:r w:rsidR="496D1198" w:rsidRPr="23C96B68">
        <w:rPr>
          <w:rFonts w:ascii="Times New Roman" w:hAnsi="Times New Roman"/>
          <w:b/>
          <w:bCs/>
          <w:sz w:val="26"/>
          <w:szCs w:val="26"/>
          <w:u w:val="single"/>
        </w:rPr>
        <w:t xml:space="preserve"> decisão do Mandando de Segurança</w:t>
      </w:r>
    </w:p>
    <w:p w14:paraId="384BE1AD" w14:textId="765B161A" w:rsidR="23C96B68" w:rsidRDefault="23C96B68" w:rsidP="23C96B68">
      <w:pPr>
        <w:spacing w:after="0" w:line="240" w:lineRule="auto"/>
        <w:ind w:firstLine="1701"/>
        <w:jc w:val="both"/>
        <w:rPr>
          <w:rFonts w:ascii="Times New Roman" w:hAnsi="Times New Roman"/>
          <w:sz w:val="26"/>
          <w:szCs w:val="26"/>
        </w:rPr>
      </w:pPr>
    </w:p>
    <w:p w14:paraId="02A7D2FB" w14:textId="784C117F" w:rsidR="6C34BCB6" w:rsidRDefault="6C34BCB6" w:rsidP="23C96B68">
      <w:pPr>
        <w:tabs>
          <w:tab w:val="right" w:pos="8787"/>
        </w:tabs>
        <w:spacing w:after="0" w:line="240" w:lineRule="auto"/>
        <w:ind w:firstLine="1701"/>
        <w:jc w:val="both"/>
        <w:rPr>
          <w:rFonts w:ascii="Times New Roman" w:eastAsia="Times New Roman" w:hAnsi="Times New Roman"/>
          <w:sz w:val="26"/>
          <w:szCs w:val="26"/>
        </w:rPr>
      </w:pPr>
      <w:r w:rsidRPr="23C96B68">
        <w:rPr>
          <w:rFonts w:ascii="Times New Roman" w:eastAsia="Times New Roman" w:hAnsi="Times New Roman"/>
          <w:color w:val="000000" w:themeColor="text1"/>
          <w:sz w:val="26"/>
          <w:szCs w:val="26"/>
        </w:rPr>
        <w:t>Repise-se que a decisão administrativa deixou de observar as decisões obtidas pelo Sindicato</w:t>
      </w:r>
      <w:r w:rsidR="4EC9D6D9" w:rsidRPr="23C96B68">
        <w:rPr>
          <w:rFonts w:ascii="Times New Roman" w:eastAsia="Times New Roman" w:hAnsi="Times New Roman"/>
          <w:color w:val="000000" w:themeColor="text1"/>
          <w:sz w:val="26"/>
          <w:szCs w:val="26"/>
        </w:rPr>
        <w:t xml:space="preserve"> dos Servidores das Justiças Federais no Estado do Rio de Janeiro – SISEJUFE,</w:t>
      </w:r>
      <w:r w:rsidRPr="23C96B68">
        <w:rPr>
          <w:rFonts w:ascii="Times New Roman" w:eastAsia="Times New Roman" w:hAnsi="Times New Roman"/>
          <w:color w:val="000000" w:themeColor="text1"/>
          <w:sz w:val="26"/>
          <w:szCs w:val="26"/>
        </w:rPr>
        <w:t xml:space="preserve"> no mandado de segurança coletivo nº 0098714-30.2017.4.02.5101 e no Agravo de instrumento nº 0003266-07.2017.4.02.000, visto que essas decisões não foram suspensas por nenhum recurso, produzindo efeitos desde logo, embora pendente o trânsito em julgado. Tanto é verdade que </w:t>
      </w:r>
      <w:r w:rsidR="45A4CB0D" w:rsidRPr="23C96B68">
        <w:rPr>
          <w:rFonts w:ascii="Times New Roman" w:eastAsia="Times New Roman" w:hAnsi="Times New Roman"/>
          <w:color w:val="000000" w:themeColor="text1"/>
          <w:sz w:val="26"/>
          <w:szCs w:val="26"/>
        </w:rPr>
        <w:t>até o TRF2</w:t>
      </w:r>
      <w:r w:rsidRPr="23C96B68">
        <w:rPr>
          <w:rFonts w:ascii="Times New Roman" w:eastAsia="Times New Roman" w:hAnsi="Times New Roman"/>
          <w:color w:val="000000" w:themeColor="text1"/>
          <w:sz w:val="26"/>
          <w:szCs w:val="26"/>
        </w:rPr>
        <w:t xml:space="preserve"> já recebeu da Advocacia-Geral da União um </w:t>
      </w:r>
      <w:r w:rsidRPr="23C96B68">
        <w:rPr>
          <w:rFonts w:ascii="Times New Roman" w:eastAsia="Times New Roman" w:hAnsi="Times New Roman"/>
          <w:b/>
          <w:bCs/>
          <w:color w:val="000000" w:themeColor="text1"/>
          <w:sz w:val="26"/>
          <w:szCs w:val="26"/>
        </w:rPr>
        <w:t>Ofício contendo Parecer de Força Executória</w:t>
      </w:r>
      <w:r w:rsidRPr="23C96B68">
        <w:rPr>
          <w:rFonts w:ascii="Times New Roman" w:eastAsia="Times New Roman" w:hAnsi="Times New Roman"/>
          <w:color w:val="000000" w:themeColor="text1"/>
          <w:sz w:val="26"/>
          <w:szCs w:val="26"/>
        </w:rPr>
        <w:t xml:space="preserve"> da decisão do MS coletivo.</w:t>
      </w:r>
    </w:p>
    <w:p w14:paraId="474F8EA8" w14:textId="74F3C18B" w:rsidR="23C96B68" w:rsidRDefault="23C96B68" w:rsidP="23C96B68">
      <w:pPr>
        <w:spacing w:after="0" w:line="240" w:lineRule="auto"/>
        <w:ind w:firstLine="1701"/>
        <w:jc w:val="both"/>
        <w:rPr>
          <w:rFonts w:ascii="Times New Roman" w:hAnsi="Times New Roman"/>
          <w:sz w:val="26"/>
          <w:szCs w:val="26"/>
        </w:rPr>
      </w:pPr>
    </w:p>
    <w:p w14:paraId="5E57D9AA" w14:textId="6C61DAE0" w:rsidR="27DC4F47" w:rsidRDefault="27DC4F47" w:rsidP="23C96B68">
      <w:pPr>
        <w:tabs>
          <w:tab w:val="right" w:pos="8787"/>
        </w:tabs>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O acórdão da 5ª Turma Especializada claramente conferiu a segurança nos exatos termos dos pedidos exarados na inicial, de modo que</w:t>
      </w:r>
      <w:r w:rsidRPr="23C96B68">
        <w:rPr>
          <w:rFonts w:ascii="Times New Roman" w:eastAsia="Times New Roman" w:hAnsi="Times New Roman"/>
          <w:b/>
          <w:bCs/>
          <w:color w:val="000000" w:themeColor="text1"/>
          <w:sz w:val="26"/>
          <w:szCs w:val="26"/>
        </w:rPr>
        <w:t xml:space="preserve"> restou reconhecido o direito</w:t>
      </w:r>
      <w:r w:rsidRPr="23C96B68">
        <w:rPr>
          <w:rFonts w:ascii="Times New Roman" w:eastAsia="Times New Roman" w:hAnsi="Times New Roman"/>
          <w:color w:val="000000" w:themeColor="text1"/>
          <w:sz w:val="26"/>
          <w:szCs w:val="26"/>
        </w:rPr>
        <w:t xml:space="preserve"> a todos os substituídos pelo Sisejufe, ou seja, a todos os Oficiais de Justiça da</w:t>
      </w:r>
      <w:r w:rsidRPr="23C96B68">
        <w:rPr>
          <w:rFonts w:ascii="Times New Roman" w:eastAsia="Times New Roman" w:hAnsi="Times New Roman"/>
          <w:b/>
          <w:bCs/>
          <w:color w:val="000000" w:themeColor="text1"/>
          <w:sz w:val="26"/>
          <w:szCs w:val="26"/>
        </w:rPr>
        <w:t xml:space="preserve"> SJRJ</w:t>
      </w:r>
      <w:r w:rsidRPr="23C96B68">
        <w:rPr>
          <w:rFonts w:ascii="Times New Roman" w:eastAsia="Times New Roman" w:hAnsi="Times New Roman"/>
          <w:color w:val="000000" w:themeColor="text1"/>
          <w:sz w:val="26"/>
          <w:szCs w:val="26"/>
        </w:rPr>
        <w:t xml:space="preserve"> e TRF2 filiados ao sindicato e que percebem a GAE cumulativamente com a VPNI oriunda de quintos incorporados da função de Executante de Mandados, de terem mantido o pagamento de ambas as parcelas.</w:t>
      </w:r>
    </w:p>
    <w:p w14:paraId="2B364044" w14:textId="3E4B260C" w:rsidR="23C96B68" w:rsidRDefault="23C96B68" w:rsidP="23C96B68">
      <w:pPr>
        <w:tabs>
          <w:tab w:val="right" w:pos="8787"/>
        </w:tabs>
        <w:spacing w:after="0" w:line="240" w:lineRule="auto"/>
        <w:ind w:firstLine="1701"/>
        <w:jc w:val="both"/>
        <w:rPr>
          <w:rFonts w:ascii="Times New Roman" w:eastAsia="Times New Roman" w:hAnsi="Times New Roman"/>
          <w:color w:val="000000" w:themeColor="text1"/>
          <w:sz w:val="26"/>
          <w:szCs w:val="26"/>
        </w:rPr>
      </w:pPr>
    </w:p>
    <w:p w14:paraId="4CB391A6" w14:textId="62737754" w:rsidR="27DC4F47" w:rsidRDefault="27DC4F47" w:rsidP="23C96B68">
      <w:pPr>
        <w:tabs>
          <w:tab w:val="right" w:pos="8787"/>
        </w:tabs>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Importante ainda observar que antes do julgamento da apelação, a 5ª Turma do TRF2 julgou o Agravo de Instrumento nº 0003266-07.2017.4.02.0000, interposto contra a decisão do juízo de 1ª instância que indeferira o pedido de liminar no </w:t>
      </w:r>
      <w:r w:rsidRPr="23C96B68">
        <w:rPr>
          <w:rFonts w:ascii="Times New Roman" w:eastAsia="Times New Roman" w:hAnsi="Times New Roman"/>
          <w:i/>
          <w:iCs/>
          <w:color w:val="000000" w:themeColor="text1"/>
          <w:sz w:val="26"/>
          <w:szCs w:val="26"/>
        </w:rPr>
        <w:t>mandamus.</w:t>
      </w:r>
      <w:r w:rsidRPr="23C96B68">
        <w:rPr>
          <w:rFonts w:ascii="Times New Roman" w:eastAsia="Times New Roman" w:hAnsi="Times New Roman"/>
          <w:color w:val="000000" w:themeColor="text1"/>
          <w:sz w:val="26"/>
          <w:szCs w:val="26"/>
        </w:rPr>
        <w:t xml:space="preserve"> O AI interposto pelo Sisejufe foi então provido, “</w:t>
      </w:r>
      <w:r w:rsidRPr="23C96B68">
        <w:rPr>
          <w:rFonts w:ascii="Times New Roman" w:eastAsia="Times New Roman" w:hAnsi="Times New Roman"/>
          <w:b/>
          <w:bCs/>
          <w:color w:val="000000" w:themeColor="text1"/>
          <w:sz w:val="26"/>
          <w:szCs w:val="26"/>
        </w:rPr>
        <w:t xml:space="preserve">para determinar a </w:t>
      </w:r>
      <w:r w:rsidRPr="23C96B68">
        <w:rPr>
          <w:rFonts w:ascii="Times New Roman" w:eastAsia="Times New Roman" w:hAnsi="Times New Roman"/>
          <w:b/>
          <w:bCs/>
          <w:color w:val="000000" w:themeColor="text1"/>
          <w:sz w:val="26"/>
          <w:szCs w:val="26"/>
        </w:rPr>
        <w:lastRenderedPageBreak/>
        <w:t xml:space="preserve">suspensão cautelar da eficácia da deliberação proferida pelo TCU prevista no Acórdão n 2784/2016, até ulterior decisão definitiva no </w:t>
      </w:r>
      <w:r w:rsidRPr="23C96B68">
        <w:rPr>
          <w:rFonts w:ascii="Times New Roman" w:eastAsia="Times New Roman" w:hAnsi="Times New Roman"/>
          <w:b/>
          <w:bCs/>
          <w:i/>
          <w:iCs/>
          <w:color w:val="000000" w:themeColor="text1"/>
          <w:sz w:val="26"/>
          <w:szCs w:val="26"/>
        </w:rPr>
        <w:t>mandamus</w:t>
      </w:r>
      <w:r w:rsidRPr="23C96B68">
        <w:rPr>
          <w:rFonts w:ascii="Times New Roman" w:eastAsia="Times New Roman" w:hAnsi="Times New Roman"/>
          <w:color w:val="000000" w:themeColor="text1"/>
          <w:sz w:val="26"/>
          <w:szCs w:val="26"/>
        </w:rPr>
        <w:t>”.</w:t>
      </w:r>
    </w:p>
    <w:p w14:paraId="34EEC8ED" w14:textId="2ED4DDFD" w:rsidR="23C96B68" w:rsidRDefault="23C96B68" w:rsidP="23C96B68">
      <w:pPr>
        <w:tabs>
          <w:tab w:val="right" w:pos="8787"/>
        </w:tabs>
        <w:spacing w:after="0" w:line="240" w:lineRule="auto"/>
        <w:ind w:firstLine="1701"/>
        <w:jc w:val="both"/>
        <w:rPr>
          <w:rFonts w:ascii="Times New Roman" w:eastAsia="Times New Roman" w:hAnsi="Times New Roman"/>
          <w:color w:val="000000" w:themeColor="text1"/>
          <w:sz w:val="26"/>
          <w:szCs w:val="26"/>
        </w:rPr>
      </w:pPr>
    </w:p>
    <w:p w14:paraId="08E8739D" w14:textId="696A96F7" w:rsidR="27DC4F47" w:rsidRDefault="27DC4F47" w:rsidP="23C96B68">
      <w:pPr>
        <w:tabs>
          <w:tab w:val="right" w:pos="8787"/>
        </w:tabs>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Reitera-se, portanto, que há decisão judicial proferida no AI nº 0003266-07.2017.4.02.0000, que </w:t>
      </w:r>
      <w:r w:rsidRPr="23C96B68">
        <w:rPr>
          <w:rFonts w:ascii="Times New Roman" w:eastAsia="Times New Roman" w:hAnsi="Times New Roman"/>
          <w:b/>
          <w:bCs/>
          <w:color w:val="000000" w:themeColor="text1"/>
          <w:sz w:val="26"/>
          <w:szCs w:val="26"/>
        </w:rPr>
        <w:t>suspende a eficácia da Acórdão nº 2784/2016</w:t>
      </w:r>
      <w:r w:rsidRPr="23C96B68">
        <w:rPr>
          <w:rFonts w:ascii="Times New Roman" w:eastAsia="Times New Roman" w:hAnsi="Times New Roman"/>
          <w:color w:val="000000" w:themeColor="text1"/>
          <w:sz w:val="26"/>
          <w:szCs w:val="26"/>
        </w:rPr>
        <w:t xml:space="preserve"> até que sobrevenha decisão definitiva no mandado de segurança coletivo, o que ainda não ocorreu, pois neste aguarda-se julgamento dos EDs interposto pela União no AREsp nº 1602146.</w:t>
      </w:r>
    </w:p>
    <w:p w14:paraId="26227721" w14:textId="1D63FADE" w:rsidR="23C96B68" w:rsidRDefault="23C96B68" w:rsidP="23C96B68">
      <w:pPr>
        <w:tabs>
          <w:tab w:val="right" w:pos="8787"/>
        </w:tabs>
        <w:spacing w:after="0" w:line="240" w:lineRule="auto"/>
        <w:ind w:firstLine="1701"/>
        <w:jc w:val="both"/>
        <w:rPr>
          <w:rFonts w:ascii="Times New Roman" w:eastAsia="Times New Roman" w:hAnsi="Times New Roman"/>
          <w:color w:val="000000" w:themeColor="text1"/>
          <w:sz w:val="26"/>
          <w:szCs w:val="26"/>
        </w:rPr>
      </w:pPr>
    </w:p>
    <w:p w14:paraId="4FA60C48" w14:textId="2601A021" w:rsidR="27DC4F47" w:rsidRDefault="27DC4F47" w:rsidP="23C96B68">
      <w:pPr>
        <w:tabs>
          <w:tab w:val="right" w:pos="8787"/>
        </w:tabs>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Dessa forma, destaca-se que efetuar o corte da VPNI sob o argumento de que a decisão proferida no MS coletivo não impediria a administração de proceder à absorção da parcela, compensando-a com reajustes (inclusive reajustes passados), constitui verdadeira</w:t>
      </w:r>
      <w:r w:rsidRPr="23C96B68">
        <w:rPr>
          <w:rFonts w:ascii="Times New Roman" w:eastAsia="Times New Roman" w:hAnsi="Times New Roman"/>
          <w:b/>
          <w:bCs/>
          <w:color w:val="000000" w:themeColor="text1"/>
          <w:sz w:val="26"/>
          <w:szCs w:val="26"/>
        </w:rPr>
        <w:t xml:space="preserve"> burla à decisão judicial, já que essa afastou a ilegalidade que justificaria o corte e, portanto, também a absorção.</w:t>
      </w:r>
    </w:p>
    <w:p w14:paraId="1271529E" w14:textId="39379A2B" w:rsidR="23C96B68" w:rsidRDefault="23C96B68" w:rsidP="23C96B68">
      <w:pPr>
        <w:spacing w:after="0" w:line="240" w:lineRule="auto"/>
        <w:ind w:firstLine="1701"/>
        <w:jc w:val="both"/>
        <w:rPr>
          <w:rFonts w:ascii="Times New Roman" w:hAnsi="Times New Roman"/>
          <w:sz w:val="26"/>
          <w:szCs w:val="26"/>
        </w:rPr>
      </w:pPr>
    </w:p>
    <w:p w14:paraId="343435CF" w14:textId="24F8BA77" w:rsidR="29884DF0" w:rsidRDefault="6559949C" w:rsidP="6E1B75D1">
      <w:pPr>
        <w:spacing w:after="0" w:line="240" w:lineRule="auto"/>
        <w:jc w:val="both"/>
        <w:rPr>
          <w:rFonts w:ascii="Times New Roman" w:hAnsi="Times New Roman"/>
          <w:b/>
          <w:bCs/>
          <w:sz w:val="26"/>
          <w:szCs w:val="26"/>
        </w:rPr>
      </w:pPr>
      <w:r w:rsidRPr="23C96B68">
        <w:rPr>
          <w:rFonts w:ascii="Times New Roman" w:hAnsi="Times New Roman"/>
          <w:b/>
          <w:bCs/>
          <w:sz w:val="26"/>
          <w:szCs w:val="26"/>
        </w:rPr>
        <w:t>2.</w:t>
      </w:r>
      <w:r w:rsidR="40C57755" w:rsidRPr="23C96B68">
        <w:rPr>
          <w:rFonts w:ascii="Times New Roman" w:hAnsi="Times New Roman"/>
          <w:b/>
          <w:bCs/>
          <w:sz w:val="26"/>
          <w:szCs w:val="26"/>
        </w:rPr>
        <w:t>2</w:t>
      </w:r>
      <w:r w:rsidRPr="23C96B68">
        <w:rPr>
          <w:rFonts w:ascii="Times New Roman" w:hAnsi="Times New Roman"/>
          <w:b/>
          <w:bCs/>
          <w:sz w:val="26"/>
          <w:szCs w:val="26"/>
        </w:rPr>
        <w:t xml:space="preserve">. </w:t>
      </w:r>
      <w:r w:rsidRPr="23C96B68">
        <w:rPr>
          <w:rFonts w:ascii="Times New Roman" w:hAnsi="Times New Roman"/>
          <w:b/>
          <w:bCs/>
          <w:sz w:val="26"/>
          <w:szCs w:val="26"/>
          <w:u w:val="single"/>
        </w:rPr>
        <w:t>Da Representação 036.450/2020-0</w:t>
      </w:r>
      <w:r w:rsidRPr="23C96B68">
        <w:rPr>
          <w:rFonts w:ascii="Times New Roman" w:hAnsi="Times New Roman"/>
          <w:b/>
          <w:bCs/>
          <w:sz w:val="26"/>
          <w:szCs w:val="26"/>
        </w:rPr>
        <w:t xml:space="preserve"> </w:t>
      </w:r>
    </w:p>
    <w:p w14:paraId="1692CD80" w14:textId="0C704876" w:rsidR="29884DF0" w:rsidRDefault="29884DF0" w:rsidP="6E1B75D1">
      <w:pPr>
        <w:spacing w:after="0" w:line="240" w:lineRule="auto"/>
        <w:jc w:val="both"/>
        <w:rPr>
          <w:rFonts w:ascii="Times New Roman" w:hAnsi="Times New Roman"/>
          <w:b/>
          <w:bCs/>
          <w:sz w:val="26"/>
          <w:szCs w:val="26"/>
        </w:rPr>
      </w:pPr>
    </w:p>
    <w:p w14:paraId="05FE1E16" w14:textId="0C5B5C3A" w:rsidR="29884DF0" w:rsidRDefault="167BEBBA"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color w:val="000000" w:themeColor="text1"/>
          <w:sz w:val="26"/>
          <w:szCs w:val="26"/>
        </w:rPr>
        <w:t>A</w:t>
      </w:r>
      <w:r w:rsidR="5DEC705D" w:rsidRPr="6E1B75D1">
        <w:rPr>
          <w:rFonts w:ascii="Times New Roman" w:eastAsia="Times New Roman" w:hAnsi="Times New Roman"/>
          <w:color w:val="000000" w:themeColor="text1"/>
          <w:sz w:val="26"/>
          <w:szCs w:val="26"/>
        </w:rPr>
        <w:t>o contrário do que a decisão sugere, a definição de como os órgãos públicos envolvidos (tribunais) devem proceder ainda será tomada em acórdão plenário, daí não serem adequadas medidas graves como corte remuneratório, antes da posição final do TCU.</w:t>
      </w:r>
    </w:p>
    <w:p w14:paraId="0B80026C" w14:textId="16E9B71D" w:rsidR="29884DF0" w:rsidRDefault="29884DF0" w:rsidP="6E1B75D1">
      <w:pPr>
        <w:spacing w:after="0" w:line="240" w:lineRule="auto"/>
        <w:ind w:firstLine="1701"/>
        <w:jc w:val="both"/>
        <w:rPr>
          <w:rFonts w:ascii="Times New Roman" w:hAnsi="Times New Roman"/>
          <w:sz w:val="26"/>
          <w:szCs w:val="26"/>
        </w:rPr>
      </w:pPr>
    </w:p>
    <w:p w14:paraId="69007E4B" w14:textId="2E3F418A" w:rsidR="06D147EB" w:rsidRDefault="06D147EB"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Isto porque</w:t>
      </w:r>
      <w:r w:rsidR="075A8B91" w:rsidRPr="6E1B75D1">
        <w:rPr>
          <w:rFonts w:ascii="Times New Roman" w:hAnsi="Times New Roman"/>
          <w:sz w:val="26"/>
          <w:szCs w:val="26"/>
        </w:rPr>
        <w:t xml:space="preserve"> não há decisão do plenário do TCU examinando a matéria com relação a totalidade de servidores ativos e inativos. O que existe são decisões em processos individuais de aposentadorias de servidores do TRF2 que tiveram registrados negados pelo órgão de controle externo. E o mais citado é o acórdão 2784/2016 que analisou os processos de concessão de aposentadorias de quatro servidores do TRF2. </w:t>
      </w:r>
    </w:p>
    <w:p w14:paraId="3123E422" w14:textId="5B438526" w:rsidR="6E1B75D1" w:rsidRDefault="6E1B75D1" w:rsidP="6E1B75D1">
      <w:pPr>
        <w:spacing w:after="0" w:line="240" w:lineRule="auto"/>
        <w:ind w:firstLine="1701"/>
        <w:jc w:val="both"/>
        <w:rPr>
          <w:rFonts w:ascii="Times New Roman" w:hAnsi="Times New Roman"/>
          <w:sz w:val="26"/>
          <w:szCs w:val="26"/>
        </w:rPr>
      </w:pPr>
    </w:p>
    <w:p w14:paraId="6C4AC1C0" w14:textId="7542EE87" w:rsidR="075A8B91" w:rsidRDefault="075A8B91" w:rsidP="23C96B68">
      <w:pPr>
        <w:spacing w:after="0" w:line="240" w:lineRule="auto"/>
        <w:ind w:firstLine="1701"/>
        <w:jc w:val="both"/>
        <w:rPr>
          <w:rFonts w:ascii="Times New Roman" w:hAnsi="Times New Roman"/>
          <w:sz w:val="26"/>
          <w:szCs w:val="26"/>
        </w:rPr>
      </w:pPr>
      <w:r w:rsidRPr="23C96B68">
        <w:rPr>
          <w:rFonts w:ascii="Times New Roman" w:hAnsi="Times New Roman"/>
          <w:sz w:val="26"/>
          <w:szCs w:val="26"/>
        </w:rPr>
        <w:t xml:space="preserve">Todavia, o que foi decidido no supracitado processo vale para o caso concreto, ou seja, </w:t>
      </w:r>
      <w:r w:rsidRPr="23C96B68">
        <w:rPr>
          <w:rFonts w:ascii="Times New Roman" w:hAnsi="Times New Roman"/>
          <w:b/>
          <w:bCs/>
          <w:sz w:val="26"/>
          <w:szCs w:val="26"/>
        </w:rPr>
        <w:t>somente para aqueles servidores</w:t>
      </w:r>
      <w:r w:rsidRPr="23C96B68">
        <w:rPr>
          <w:rFonts w:ascii="Times New Roman" w:hAnsi="Times New Roman"/>
          <w:sz w:val="26"/>
          <w:szCs w:val="26"/>
        </w:rPr>
        <w:t>.  Tanto é verdade que não há deliberação da Corte de Contas determinando "o corte" da VPNI da totalidade dos servidores ativos e inativos que o TCU instauração dita Representação.</w:t>
      </w:r>
    </w:p>
    <w:p w14:paraId="773A6722" w14:textId="487E96D6" w:rsidR="6E1B75D1" w:rsidRDefault="6E1B75D1" w:rsidP="6E1B75D1">
      <w:pPr>
        <w:spacing w:after="0" w:line="240" w:lineRule="auto"/>
        <w:ind w:firstLine="1701"/>
        <w:jc w:val="both"/>
        <w:rPr>
          <w:rFonts w:ascii="Times New Roman" w:hAnsi="Times New Roman"/>
          <w:sz w:val="26"/>
          <w:szCs w:val="26"/>
        </w:rPr>
      </w:pPr>
    </w:p>
    <w:p w14:paraId="26926EAD" w14:textId="2D2A997F" w:rsidR="2BA4AA95" w:rsidRDefault="2BA4AA95" w:rsidP="6E1B75D1">
      <w:pPr>
        <w:spacing w:after="0" w:line="240" w:lineRule="auto"/>
        <w:ind w:firstLine="1701"/>
        <w:jc w:val="both"/>
        <w:rPr>
          <w:rFonts w:ascii="Times New Roman" w:eastAsia="Times New Roman" w:hAnsi="Times New Roman"/>
          <w:sz w:val="26"/>
          <w:szCs w:val="26"/>
        </w:rPr>
      </w:pPr>
      <w:r w:rsidRPr="6E1B75D1">
        <w:rPr>
          <w:rFonts w:ascii="Times New Roman" w:eastAsia="Times New Roman" w:hAnsi="Times New Roman"/>
          <w:color w:val="000000" w:themeColor="text1"/>
          <w:sz w:val="26"/>
          <w:szCs w:val="26"/>
        </w:rPr>
        <w:t xml:space="preserve">Não obstante, o </w:t>
      </w:r>
      <w:r w:rsidRPr="6E1B75D1">
        <w:rPr>
          <w:rFonts w:ascii="Times New Roman" w:eastAsia="Times New Roman" w:hAnsi="Times New Roman"/>
          <w:b/>
          <w:bCs/>
          <w:color w:val="000000" w:themeColor="text1"/>
          <w:sz w:val="26"/>
          <w:szCs w:val="26"/>
        </w:rPr>
        <w:t>Ministério Público do Tribunal de Contas da Uniã</w:t>
      </w:r>
      <w:r w:rsidRPr="6E1B75D1">
        <w:rPr>
          <w:rFonts w:ascii="Times New Roman" w:eastAsia="Times New Roman" w:hAnsi="Times New Roman"/>
          <w:color w:val="000000" w:themeColor="text1"/>
          <w:sz w:val="26"/>
          <w:szCs w:val="26"/>
        </w:rPr>
        <w:t xml:space="preserve">o apresentou parecer no referido processo, evidenciando que a Corte de Contas deve aplicar isonomia (inclusive com outros casos similares julgados, a exemplo do </w:t>
      </w:r>
      <w:r w:rsidRPr="6E1B75D1">
        <w:rPr>
          <w:rFonts w:ascii="Times New Roman" w:eastAsia="Times New Roman" w:hAnsi="Times New Roman"/>
          <w:b/>
          <w:bCs/>
          <w:color w:val="000000" w:themeColor="text1"/>
          <w:sz w:val="26"/>
          <w:szCs w:val="26"/>
        </w:rPr>
        <w:t>Acórdão 2602/2013/TCU-Plenário</w:t>
      </w:r>
      <w:r w:rsidRPr="6E1B75D1">
        <w:rPr>
          <w:rFonts w:ascii="Times New Roman" w:eastAsia="Times New Roman" w:hAnsi="Times New Roman"/>
          <w:color w:val="000000" w:themeColor="text1"/>
          <w:sz w:val="26"/>
          <w:szCs w:val="26"/>
        </w:rPr>
        <w:t xml:space="preserve">) entre ativos e inativos e adotar a transformação da VPNI em parcela compensatória, a ser absorvida </w:t>
      </w:r>
      <w:r w:rsidRPr="6E1B75D1">
        <w:rPr>
          <w:rFonts w:ascii="Times New Roman" w:eastAsia="Times New Roman" w:hAnsi="Times New Roman"/>
          <w:b/>
          <w:bCs/>
          <w:color w:val="000000" w:themeColor="text1"/>
          <w:sz w:val="26"/>
          <w:szCs w:val="26"/>
        </w:rPr>
        <w:t>apenas por reajustes futuros</w:t>
      </w:r>
      <w:r w:rsidRPr="6E1B75D1">
        <w:rPr>
          <w:rFonts w:ascii="Times New Roman" w:eastAsia="Times New Roman" w:hAnsi="Times New Roman"/>
          <w:color w:val="000000" w:themeColor="text1"/>
          <w:sz w:val="26"/>
          <w:szCs w:val="26"/>
        </w:rPr>
        <w:t xml:space="preserve"> (sem retroatividade ou redução remuneratória). Eis o trecho do parecer:</w:t>
      </w:r>
    </w:p>
    <w:p w14:paraId="7F726AD0" w14:textId="36C9628A" w:rsidR="6E1B75D1" w:rsidRDefault="6E1B75D1" w:rsidP="6E1B75D1">
      <w:pPr>
        <w:spacing w:after="0" w:line="240" w:lineRule="auto"/>
        <w:ind w:firstLine="1701"/>
        <w:jc w:val="both"/>
        <w:rPr>
          <w:rFonts w:ascii="Times New Roman" w:hAnsi="Times New Roman"/>
          <w:sz w:val="26"/>
          <w:szCs w:val="26"/>
        </w:rPr>
      </w:pPr>
    </w:p>
    <w:p w14:paraId="11884521" w14:textId="640BFC48"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xml:space="preserve">Nota-se, ainda, variação na forma de absorção da parcela indevida. Para os ativos, a absorção será de forma retroativa, considerado o prazo de cinco anos anteriores </w:t>
      </w:r>
      <w:r w:rsidRPr="6E1B75D1">
        <w:rPr>
          <w:rFonts w:ascii="Times New Roman" w:eastAsia="Times New Roman" w:hAnsi="Times New Roman"/>
          <w:color w:val="000000" w:themeColor="text1"/>
        </w:rPr>
        <w:lastRenderedPageBreak/>
        <w:t>(36.2.1). Para os inativos e pensionistas, a absorção dar-se-á apenas com efeitos futuros (36.2.2).</w:t>
      </w:r>
    </w:p>
    <w:p w14:paraId="29EA6A99" w14:textId="5DA6C677"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Em suma, a diversidade dos procedimentos a serem adotados em função do tempo, considerados os prazos decadenciais de cada caso concreto, dificulta sobremaneira os trabalhos das unidades de origem e as atividades de controle.</w:t>
      </w:r>
    </w:p>
    <w:p w14:paraId="1D9E0109" w14:textId="6E0B308F"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Ante o quadro fático posto, afigura-se preferível que o Tribunal de Contas da União adote uma solução homogênea, evitando-se, com essa medida, tratamentos complexos e diferenciados entre os interessados, em sintonia com os postulados da eficiência e da isonomia.</w:t>
      </w:r>
    </w:p>
    <w:p w14:paraId="10F3B566" w14:textId="09D08894"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Em relação a esse ponto, convém rememorar o Acórdão 2.602/2013-TCU-Plenário, prolatado nos autos do TC 019.100/2009-4, por intermédio do qual o Plenário desta Corte apreciou o relatório da auditoria realizada no Senado Federal que, entre diversos achados, identificou o pagamento irregular de quintos aos servidores da Casa Legislativa.</w:t>
      </w:r>
    </w:p>
    <w:p w14:paraId="6A428F46" w14:textId="6C065BE7"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Naquela assentada, o TCU formulou a seguinte determinação:</w:t>
      </w:r>
    </w:p>
    <w:p w14:paraId="154E9E25" w14:textId="1B3620C6" w:rsidR="6ED4539A" w:rsidRDefault="6ED4539A" w:rsidP="6E1B75D1">
      <w:pPr>
        <w:spacing w:after="0" w:line="240" w:lineRule="auto"/>
        <w:ind w:left="2268"/>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“9.2.3 adote as medidas administrativas cabíveis, visando a transformar a parcela referente ao pagamento da incorporação de quintos de FC e a vantagem prevista no art. 193 da Lei 8.112/1990 (FC/opção) concedidas a todos os servidores do Senado Federal (Consultores Legislativos, Consultores de Orçamentos, Advogados, Analistas Legislativos, Técnicos Legislativos e Auxiliares Legislativos), em especial os Consultores Legislativos relacionados nas fls. 169 a 171 do Anexo 2, até mesmo os aposentados, sem que tenham sido formalmente designados para o exercício de função comissionada de direção, chefia ou assessoramento, em desconformidade com os artigos 62 e 62-A da Lei 8.112/1990, 3º da Lei 8.911/1994, e 15 da Lei 9.527/1997, em parcela compensatória passível de atualização pelos índices gerais de reajuste aplicáveis às remunerações dos servidores públicos, a ser absorvida por ocasião: do desenvolvimento no cargo ou na carreira por progressão ou promoção, ordinária ou extraordinária; da reorganização ou da reestruturação dos cargos e da carreira ou das remunerações; da concessão de reajuste ou vantagem de qualquer natureza;”</w:t>
      </w:r>
    </w:p>
    <w:p w14:paraId="14CE21A1" w14:textId="0D1B3DA4"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Nota-se, de plano, o tratamento isonômico no equacionamento dos pagamentos indevidos: transformação dos quintos irregulares em parcela compensatória. Além disso, a absorção determinada pelo TCU atuou apenas de forma prospectiva, em contrapartida dos aumentos remuneratórios de qualquer natureza.</w:t>
      </w:r>
    </w:p>
    <w:p w14:paraId="7FB858D0" w14:textId="56299319"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Essa forma de compensação, sem retroatividade, está em consonância com aquela estabelecida pelo Supremo Tribunal Federal no RE 638.115/CE, com trânsito em julgado desde 17/9/2020, para os quintos irregulares concedidos pela via administrativa:</w:t>
      </w:r>
    </w:p>
    <w:p w14:paraId="315995E3" w14:textId="52A02F0E" w:rsidR="6ED4539A" w:rsidRDefault="6ED4539A" w:rsidP="6E1B75D1">
      <w:pPr>
        <w:spacing w:after="0" w:line="240" w:lineRule="auto"/>
        <w:ind w:left="2268"/>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“7. Modulação dos efeitos da decisão. Manutenção do pagamento da referida parcela incorporada em decorrência de decisões administrativas, até que sejam absorvidas por quaisquer reajustes futuros a contar da data do presente julgamento.[...]”</w:t>
      </w:r>
    </w:p>
    <w:p w14:paraId="347F0862" w14:textId="41691A0D"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Ante o exposto, o Ministério Público de Contas manifesta-se no sentido de o Tribunal de Contas da União:</w:t>
      </w:r>
    </w:p>
    <w:p w14:paraId="5329E708" w14:textId="1B6E7DD4"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a) conhecer da presente representação e considerá-la parcialmente procedente e</w:t>
      </w:r>
    </w:p>
    <w:p w14:paraId="5DC5EC3E" w14:textId="5BED7300" w:rsidR="6ED4539A" w:rsidRDefault="6ED4539A"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xml:space="preserve">b) no mérito, formular determinações às unidades jurisdicionadas para a correção das irregularidades indicadas no presente processo, </w:t>
      </w:r>
      <w:r w:rsidRPr="6E1B75D1">
        <w:rPr>
          <w:rFonts w:ascii="Times New Roman" w:eastAsia="Times New Roman" w:hAnsi="Times New Roman"/>
          <w:b/>
          <w:bCs/>
          <w:color w:val="000000" w:themeColor="text1"/>
        </w:rPr>
        <w:t>na mesma linha daquelas adotadas no item 9.2.3 do Acórdão 2.602/2013-TCU-Plenário</w:t>
      </w:r>
      <w:r w:rsidRPr="6E1B75D1">
        <w:rPr>
          <w:rFonts w:ascii="Times New Roman" w:eastAsia="Times New Roman" w:hAnsi="Times New Roman"/>
          <w:color w:val="000000" w:themeColor="text1"/>
        </w:rPr>
        <w:t>.</w:t>
      </w:r>
    </w:p>
    <w:p w14:paraId="0EBF926B" w14:textId="31DA378B" w:rsidR="6E1B75D1" w:rsidRDefault="6E1B75D1" w:rsidP="6E1B75D1">
      <w:pPr>
        <w:spacing w:after="0" w:line="240" w:lineRule="auto"/>
        <w:ind w:firstLine="1701"/>
        <w:jc w:val="both"/>
        <w:rPr>
          <w:rFonts w:ascii="Times New Roman" w:eastAsia="Times New Roman" w:hAnsi="Times New Roman"/>
          <w:color w:val="000000" w:themeColor="text1"/>
          <w:sz w:val="26"/>
          <w:szCs w:val="26"/>
        </w:rPr>
      </w:pPr>
    </w:p>
    <w:p w14:paraId="1893E3BA" w14:textId="0A92D301" w:rsidR="7483061B" w:rsidRDefault="7483061B" w:rsidP="6E1B75D1">
      <w:pPr>
        <w:spacing w:after="0" w:line="240" w:lineRule="auto"/>
        <w:ind w:firstLine="1701"/>
        <w:jc w:val="both"/>
        <w:rPr>
          <w:rFonts w:ascii="Times New Roman" w:eastAsia="Times New Roman" w:hAnsi="Times New Roman"/>
          <w:sz w:val="26"/>
          <w:szCs w:val="26"/>
        </w:rPr>
      </w:pPr>
      <w:r w:rsidRPr="6E1B75D1">
        <w:rPr>
          <w:rFonts w:ascii="Times New Roman" w:eastAsia="Times New Roman" w:hAnsi="Times New Roman"/>
          <w:color w:val="000000" w:themeColor="text1"/>
          <w:sz w:val="26"/>
          <w:szCs w:val="26"/>
        </w:rPr>
        <w:t>Nesse mesmo sentido, observa-se a orientação emitida pelo TCU em resposta à consulta da Supervisora da Seção de Aposentadorias e Pensões do TRF-5 que, na análise do Acordão 2784/2016/TCU-Plenário, questionou sobre como deveria proceder, dadas as informações contraditórias derivadas, objeto de vários desdobramentos e decisões (administrativas e judiciais), inclusive na Corte de Contas.</w:t>
      </w:r>
    </w:p>
    <w:p w14:paraId="25A42298" w14:textId="389114BA" w:rsidR="6E1B75D1" w:rsidRDefault="6E1B75D1" w:rsidP="6E1B75D1">
      <w:pPr>
        <w:spacing w:after="0" w:line="240" w:lineRule="auto"/>
        <w:ind w:firstLine="1701"/>
        <w:jc w:val="both"/>
        <w:rPr>
          <w:rFonts w:ascii="Times New Roman" w:eastAsia="Times New Roman" w:hAnsi="Times New Roman"/>
          <w:color w:val="000000" w:themeColor="text1"/>
          <w:sz w:val="26"/>
          <w:szCs w:val="26"/>
        </w:rPr>
      </w:pPr>
    </w:p>
    <w:p w14:paraId="4BF428A5" w14:textId="498E9F21"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b/>
          <w:bCs/>
          <w:color w:val="000000" w:themeColor="text1"/>
        </w:rPr>
        <w:t>Assim consignou o parecer da Supervisora</w:t>
      </w:r>
      <w:r w:rsidRPr="6E1B75D1">
        <w:rPr>
          <w:rFonts w:ascii="Times New Roman" w:eastAsia="Times New Roman" w:hAnsi="Times New Roman"/>
          <w:color w:val="000000" w:themeColor="text1"/>
        </w:rPr>
        <w:t xml:space="preserve"> (</w:t>
      </w:r>
      <w:r w:rsidRPr="6E1B75D1">
        <w:rPr>
          <w:rFonts w:ascii="Times New Roman" w:eastAsia="Times New Roman" w:hAnsi="Times New Roman"/>
          <w:color w:val="000000" w:themeColor="text1"/>
          <w:highlight w:val="green"/>
        </w:rPr>
        <w:t>anexo</w:t>
      </w:r>
      <w:r w:rsidRPr="6E1B75D1">
        <w:rPr>
          <w:rFonts w:ascii="Times New Roman" w:eastAsia="Times New Roman" w:hAnsi="Times New Roman"/>
          <w:color w:val="000000" w:themeColor="text1"/>
        </w:rPr>
        <w:t>)</w:t>
      </w:r>
    </w:p>
    <w:p w14:paraId="6AEE9C73" w14:textId="1A36CA01"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xml:space="preserve"> </w:t>
      </w:r>
    </w:p>
    <w:p w14:paraId="2700B743" w14:textId="65547B75"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PA n. 0005939-85.2020.4.05.7500</w:t>
      </w:r>
    </w:p>
    <w:p w14:paraId="455B42D3" w14:textId="044F828B"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Assunto: Aposentadoria Voluntária</w:t>
      </w:r>
    </w:p>
    <w:p w14:paraId="557286B4" w14:textId="75414268"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Requerente: Isaac de Sousa Oliveira (SJ/PE)</w:t>
      </w:r>
    </w:p>
    <w:p w14:paraId="3E1722DD" w14:textId="481817EA"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w:t>
      </w:r>
    </w:p>
    <w:p w14:paraId="4186C096" w14:textId="1AD5340C"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Por fim, esta Seção de Aposentadorias e Pensões, em 02/12/2020, via mensagem eletrônica, solicitou esclarecimentos à equipe TCU/Sefip/Diaup, sobre a matéria, assim respondida:</w:t>
      </w:r>
    </w:p>
    <w:p w14:paraId="2EEFB008" w14:textId="315A6E4C"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xml:space="preserve"> </w:t>
      </w:r>
    </w:p>
    <w:p w14:paraId="3D4761AD" w14:textId="7294691A"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Prezada Cláudia e demais servidores do TRF-5,</w:t>
      </w:r>
    </w:p>
    <w:p w14:paraId="7B82CB1F" w14:textId="18A9D216"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xml:space="preserve">Em atenção a sua mensagem eletrônica, informamos que </w:t>
      </w:r>
      <w:r w:rsidRPr="6E1B75D1">
        <w:rPr>
          <w:rFonts w:ascii="Times New Roman" w:eastAsia="Times New Roman" w:hAnsi="Times New Roman"/>
          <w:b/>
          <w:bCs/>
          <w:color w:val="000000" w:themeColor="text1"/>
        </w:rPr>
        <w:t>a Sefip já autuou uma Representação específica para tratar da melhor forma de regularizar os casos de acumulação de GAE e quintos de Executante de Mandados.</w:t>
      </w:r>
    </w:p>
    <w:p w14:paraId="210FFEBA" w14:textId="57E008C3"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b/>
          <w:bCs/>
          <w:color w:val="000000" w:themeColor="text1"/>
        </w:rPr>
        <w:t>Essa Representação aguarda manifestação do Plenário do TCU (TC 036.450/2020-0).</w:t>
      </w:r>
    </w:p>
    <w:p w14:paraId="6B995F98" w14:textId="73639000"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xml:space="preserve">Um dos pontos discutidos é justamente o tratamento dos atos de aposentadoria julgados legais há mais de 5 anos. Assim, </w:t>
      </w:r>
      <w:r w:rsidRPr="6E1B75D1">
        <w:rPr>
          <w:rFonts w:ascii="Times New Roman" w:eastAsia="Times New Roman" w:hAnsi="Times New Roman"/>
          <w:b/>
          <w:bCs/>
          <w:color w:val="000000" w:themeColor="text1"/>
        </w:rPr>
        <w:t>recomendamos que os indícios nessa situação sejam encaminhados ao TCU com a opção 3 (procede, mas não serão tomadas medidas para regularização).</w:t>
      </w:r>
      <w:r w:rsidRPr="6E1B75D1">
        <w:rPr>
          <w:rFonts w:ascii="Times New Roman" w:eastAsia="Times New Roman" w:hAnsi="Times New Roman"/>
          <w:color w:val="000000" w:themeColor="text1"/>
        </w:rPr>
        <w:t xml:space="preserve"> Eles serão transferidos para a aba </w:t>
      </w:r>
      <w:r w:rsidRPr="6E1B75D1">
        <w:rPr>
          <w:rFonts w:ascii="Times New Roman" w:eastAsia="Times New Roman" w:hAnsi="Times New Roman"/>
          <w:b/>
          <w:bCs/>
          <w:color w:val="000000" w:themeColor="text1"/>
        </w:rPr>
        <w:t>“Tratado em Processo de Controle Externo”, aguardando a decisão do Plenário no referido processo.</w:t>
      </w:r>
    </w:p>
    <w:p w14:paraId="1539901F" w14:textId="7208CB32" w:rsidR="45534A35" w:rsidRDefault="45534A35" w:rsidP="6E1B75D1">
      <w:pPr>
        <w:spacing w:after="0" w:line="240" w:lineRule="auto"/>
        <w:ind w:left="1701"/>
        <w:jc w:val="both"/>
        <w:rPr>
          <w:rFonts w:ascii="Times New Roman" w:eastAsia="Times New Roman" w:hAnsi="Times New Roman"/>
          <w:b/>
          <w:bCs/>
          <w:color w:val="000000" w:themeColor="text1"/>
        </w:rPr>
      </w:pPr>
      <w:r w:rsidRPr="6E1B75D1">
        <w:rPr>
          <w:rFonts w:ascii="Times New Roman" w:eastAsia="Times New Roman" w:hAnsi="Times New Roman"/>
          <w:color w:val="000000" w:themeColor="text1"/>
        </w:rPr>
        <w:t xml:space="preserve">Outro ponto discutido nessa Representação é a forma de absorção da rubrica irregular. </w:t>
      </w:r>
      <w:r w:rsidRPr="6E1B75D1">
        <w:rPr>
          <w:rFonts w:ascii="Times New Roman" w:eastAsia="Times New Roman" w:hAnsi="Times New Roman"/>
          <w:b/>
          <w:bCs/>
          <w:color w:val="000000" w:themeColor="text1"/>
        </w:rPr>
        <w:t>Uma das propostas apresentadas é justamente a utilização da jurisprudência do STF em relação ao RE 638.115</w:t>
      </w:r>
    </w:p>
    <w:p w14:paraId="0144A5A6" w14:textId="34910500"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b/>
          <w:bCs/>
          <w:color w:val="000000" w:themeColor="text1"/>
        </w:rPr>
        <w:t>(Tema 395). É possível que o Acórdão resultante dessa Representação adote essa estratégia.</w:t>
      </w:r>
      <w:r w:rsidRPr="6E1B75D1">
        <w:rPr>
          <w:rFonts w:ascii="Times New Roman" w:eastAsia="Times New Roman" w:hAnsi="Times New Roman"/>
          <w:color w:val="000000" w:themeColor="text1"/>
        </w:rPr>
        <w:t xml:space="preserve"> Porém ainda carece de manifestação por parte dos Ministros do TCU.</w:t>
      </w:r>
    </w:p>
    <w:p w14:paraId="71A48AAF" w14:textId="5AAA4633"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Atenciosamente,</w:t>
      </w:r>
    </w:p>
    <w:p w14:paraId="354140EC" w14:textId="451C6E1C"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b/>
          <w:bCs/>
          <w:color w:val="000000" w:themeColor="text1"/>
        </w:rPr>
        <w:t>Equipe TCU/Sefip/Diaup</w:t>
      </w:r>
      <w:r w:rsidRPr="6E1B75D1">
        <w:rPr>
          <w:rFonts w:ascii="Times New Roman" w:eastAsia="Times New Roman" w:hAnsi="Times New Roman"/>
          <w:color w:val="000000" w:themeColor="text1"/>
        </w:rPr>
        <w:t>”</w:t>
      </w:r>
    </w:p>
    <w:p w14:paraId="151D6959" w14:textId="0589D093"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xml:space="preserve"> </w:t>
      </w:r>
    </w:p>
    <w:p w14:paraId="70EEFC2B" w14:textId="10D01C79"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Ante o exposto, à consideração de Vossa Senhoria, propondo, com a</w:t>
      </w:r>
    </w:p>
    <w:p w14:paraId="2B5BA1C3" w14:textId="7D99BEAE"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devida vênia, o deferimento do pedido, conforme a seguir:</w:t>
      </w:r>
    </w:p>
    <w:p w14:paraId="0063EB47" w14:textId="656B9C4A"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xml:space="preserve"> </w:t>
      </w:r>
    </w:p>
    <w:p w14:paraId="443A97B3" w14:textId="4D4238C2"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 xml:space="preserve">1. Concessão da aposentadoria voluntária por tempo de contribuição, no cargo de Analista Judiciário, Área Judiciária, Especialidade Oficial de Justiça Avaliador Federal, Nível Superior, Classe “C”, Padrão 13, com os proventos integrais e direito à paridade de seus proventos com a remuneração dos servidores ativos, fundamentada no art. 3º da Emenda Constitucional nº. 47/2005, c/c o art. 3º da Emenda Constitucional nº 103/2019, com a remuneração do cargo efetivo (Vencimento + GAJ) e a incorporação de 5% (cinco por cento) de Adicional por Tempo de Serviço - ATS, nos termos do art. 67, da Lei 8.112/90, c/c o art. 15, </w:t>
      </w:r>
      <w:r w:rsidRPr="6E1B75D1">
        <w:rPr>
          <w:rFonts w:ascii="Times New Roman" w:eastAsia="Times New Roman" w:hAnsi="Times New Roman"/>
          <w:color w:val="000000" w:themeColor="text1"/>
        </w:rPr>
        <w:lastRenderedPageBreak/>
        <w:t>inciso II, da Medida Provisória nº 2.225-45/2001, assim como 7,5 (sete e meio por cento), a título de Adicional de Qualificação – AQ, por Especialização, com fundamento na Lei 11.416/2006, cumulativamente com a Gratificação de Atividade Externa - GAE, conforme art.16, §2º, e 28 da Lei nº. 11.416/2006, bem como com a Vantagem Pessoal Nominalmente Identificada - VPNI, remanescente dos antigos “quintos” (2/5 de FC-05/ Supervisor), com base nos arts. 3º e 11 da</w:t>
      </w:r>
      <w:r w:rsidR="4B27755D" w:rsidRPr="6E1B75D1">
        <w:rPr>
          <w:rFonts w:ascii="Times New Roman" w:eastAsia="Times New Roman" w:hAnsi="Times New Roman"/>
          <w:color w:val="000000" w:themeColor="text1"/>
        </w:rPr>
        <w:t xml:space="preserve"> </w:t>
      </w:r>
      <w:r w:rsidRPr="6E1B75D1">
        <w:rPr>
          <w:rFonts w:ascii="Times New Roman" w:eastAsia="Times New Roman" w:hAnsi="Times New Roman"/>
          <w:color w:val="000000" w:themeColor="text1"/>
        </w:rPr>
        <w:t xml:space="preserve">Lei n.º 8.911/94, c/c o art. 62-A, da Lei nº. 8.112/90; e </w:t>
      </w:r>
      <w:r w:rsidRPr="6E1B75D1">
        <w:rPr>
          <w:rFonts w:ascii="Times New Roman" w:eastAsia="Times New Roman" w:hAnsi="Times New Roman"/>
          <w:b/>
          <w:bCs/>
          <w:color w:val="000000" w:themeColor="text1"/>
        </w:rPr>
        <w:t>2. Converter a VPNI, referente aos 3/5 de FC-05 de executante de mandados, em “Parcela Compensatória” a ser absorvida pelos reajustes futuros concedidos aos servidores</w:t>
      </w:r>
      <w:r w:rsidRPr="6E1B75D1">
        <w:rPr>
          <w:rFonts w:ascii="Times New Roman" w:eastAsia="Times New Roman" w:hAnsi="Times New Roman"/>
          <w:color w:val="000000" w:themeColor="text1"/>
        </w:rPr>
        <w:t>, conforme modulação de efeitos adotada pelo STF no RE.638.115-Tema 395, observando a decisão da Primeira Turma do Supremo Tribunal Federal, em sede Agravo Regimental, no Mandado de Segurança n.º 36869/DF e o precedente</w:t>
      </w:r>
    </w:p>
    <w:p w14:paraId="21BB7FD4" w14:textId="2F18950C" w:rsidR="45534A35" w:rsidRDefault="45534A35" w:rsidP="6E1B75D1">
      <w:pPr>
        <w:spacing w:after="0" w:line="240" w:lineRule="auto"/>
        <w:ind w:left="1701"/>
        <w:jc w:val="both"/>
        <w:rPr>
          <w:rFonts w:ascii="Times New Roman" w:eastAsia="Times New Roman" w:hAnsi="Times New Roman"/>
          <w:color w:val="000000" w:themeColor="text1"/>
        </w:rPr>
      </w:pPr>
      <w:r w:rsidRPr="6E1B75D1">
        <w:rPr>
          <w:rFonts w:ascii="Times New Roman" w:eastAsia="Times New Roman" w:hAnsi="Times New Roman"/>
          <w:color w:val="000000" w:themeColor="text1"/>
        </w:rPr>
        <w:t>administrativo do Presidente do Tribunal Regional do Trabalho da 6ª Região.</w:t>
      </w:r>
    </w:p>
    <w:p w14:paraId="5B9BEF48" w14:textId="014C1E62" w:rsidR="45534A35" w:rsidRDefault="45534A35"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color w:val="000000" w:themeColor="text1"/>
          <w:sz w:val="26"/>
          <w:szCs w:val="26"/>
        </w:rPr>
        <w:t xml:space="preserve"> </w:t>
      </w:r>
    </w:p>
    <w:p w14:paraId="5DB3D86C" w14:textId="067F15B3" w:rsidR="45534A35" w:rsidRDefault="45534A35"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color w:val="000000" w:themeColor="text1"/>
          <w:sz w:val="26"/>
          <w:szCs w:val="26"/>
        </w:rPr>
        <w:t>Portanto, não cabe dizer que se pode retirar a VPNI a pretexto de cumprir determinação do TCU, pois outra tem sido a orientação para o caso (manutenção da VPNI), sem prejuízo da GAE.</w:t>
      </w:r>
    </w:p>
    <w:p w14:paraId="3DDAE246" w14:textId="0F81C055" w:rsidR="6E1B75D1" w:rsidRDefault="6E1B75D1" w:rsidP="6E1B75D1">
      <w:pPr>
        <w:spacing w:after="0" w:line="240" w:lineRule="auto"/>
        <w:ind w:firstLine="1701"/>
        <w:jc w:val="both"/>
        <w:rPr>
          <w:rFonts w:ascii="Times New Roman" w:eastAsia="Times New Roman" w:hAnsi="Times New Roman"/>
          <w:color w:val="000000" w:themeColor="text1"/>
          <w:sz w:val="26"/>
          <w:szCs w:val="26"/>
        </w:rPr>
      </w:pPr>
    </w:p>
    <w:p w14:paraId="1B969A4F" w14:textId="62A0E79C" w:rsidR="1B14BA33" w:rsidRDefault="1B14BA3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Dessa forma, </w:t>
      </w:r>
      <w:r w:rsidR="5C4B01B5" w:rsidRPr="6E1B75D1">
        <w:rPr>
          <w:rFonts w:ascii="Times New Roman" w:hAnsi="Times New Roman"/>
          <w:sz w:val="26"/>
          <w:szCs w:val="26"/>
        </w:rPr>
        <w:t xml:space="preserve">inaplicável a </w:t>
      </w:r>
      <w:r w:rsidR="11FD5C22" w:rsidRPr="6E1B75D1">
        <w:rPr>
          <w:rFonts w:ascii="Times New Roman" w:hAnsi="Times New Roman"/>
          <w:sz w:val="26"/>
          <w:szCs w:val="26"/>
        </w:rPr>
        <w:t>presente</w:t>
      </w:r>
      <w:r w:rsidR="5C4B01B5" w:rsidRPr="6E1B75D1">
        <w:rPr>
          <w:rFonts w:ascii="Times New Roman" w:hAnsi="Times New Roman"/>
          <w:sz w:val="26"/>
          <w:szCs w:val="26"/>
        </w:rPr>
        <w:t xml:space="preserve"> decisão com base nas irregularidades apontadas pelo Tribunal de Contas da União</w:t>
      </w:r>
      <w:r w:rsidR="0F3DEF12" w:rsidRPr="6E1B75D1">
        <w:rPr>
          <w:rFonts w:ascii="Times New Roman" w:hAnsi="Times New Roman"/>
          <w:sz w:val="26"/>
          <w:szCs w:val="26"/>
        </w:rPr>
        <w:t xml:space="preserve">, já que a definição de como os órgãos públicos envolvidos (tribunais) devem proceder ainda será tomada em acórdão plenário, daí não serem adequadas medidas graves como corte remuneratória antes da posição final do TCU, </w:t>
      </w:r>
      <w:r w:rsidR="0F3DEF12" w:rsidRPr="6E1B75D1">
        <w:rPr>
          <w:rFonts w:ascii="Times New Roman" w:hAnsi="Times New Roman"/>
          <w:b/>
          <w:bCs/>
          <w:sz w:val="26"/>
          <w:szCs w:val="26"/>
        </w:rPr>
        <w:t>que já reconheceu a possibilidade de rever seu posicionamento quanto à compensação retroativa</w:t>
      </w:r>
      <w:r w:rsidR="0F3DEF12" w:rsidRPr="6E1B75D1">
        <w:rPr>
          <w:rFonts w:ascii="Times New Roman" w:hAnsi="Times New Roman"/>
          <w:sz w:val="26"/>
          <w:szCs w:val="26"/>
        </w:rPr>
        <w:t xml:space="preserve"> – o que, de imediato, </w:t>
      </w:r>
      <w:r w:rsidR="0F3DEF12" w:rsidRPr="6E1B75D1">
        <w:rPr>
          <w:rFonts w:ascii="Times New Roman" w:hAnsi="Times New Roman"/>
          <w:b/>
          <w:bCs/>
          <w:sz w:val="26"/>
          <w:szCs w:val="26"/>
        </w:rPr>
        <w:t>não implicaria qualquer corte remuneratório aos servidores</w:t>
      </w:r>
      <w:r w:rsidR="0F3DEF12" w:rsidRPr="6E1B75D1">
        <w:rPr>
          <w:rFonts w:ascii="Times New Roman" w:hAnsi="Times New Roman"/>
          <w:sz w:val="26"/>
          <w:szCs w:val="26"/>
        </w:rPr>
        <w:t>.</w:t>
      </w:r>
    </w:p>
    <w:p w14:paraId="15ED4608" w14:textId="50861808" w:rsidR="6E1B75D1" w:rsidRDefault="6E1B75D1" w:rsidP="6E1B75D1">
      <w:pPr>
        <w:spacing w:after="0" w:line="240" w:lineRule="auto"/>
        <w:ind w:firstLine="1701"/>
        <w:jc w:val="both"/>
        <w:rPr>
          <w:rFonts w:ascii="Times New Roman" w:hAnsi="Times New Roman"/>
          <w:sz w:val="26"/>
          <w:szCs w:val="26"/>
        </w:rPr>
      </w:pPr>
    </w:p>
    <w:p w14:paraId="1C5CF3D9" w14:textId="092D2BB3" w:rsidR="0093866C" w:rsidRDefault="0093866C" w:rsidP="6E1B75D1">
      <w:pPr>
        <w:spacing w:after="0" w:line="240" w:lineRule="auto"/>
        <w:jc w:val="both"/>
        <w:rPr>
          <w:rFonts w:ascii="Times New Roman" w:hAnsi="Times New Roman"/>
          <w:b/>
          <w:bCs/>
          <w:sz w:val="26"/>
          <w:szCs w:val="26"/>
        </w:rPr>
      </w:pPr>
      <w:r w:rsidRPr="23C96B68">
        <w:rPr>
          <w:rFonts w:ascii="Times New Roman" w:hAnsi="Times New Roman"/>
          <w:b/>
          <w:bCs/>
          <w:sz w:val="26"/>
          <w:szCs w:val="26"/>
        </w:rPr>
        <w:t>2.</w:t>
      </w:r>
      <w:r w:rsidR="692F4AEF" w:rsidRPr="23C96B68">
        <w:rPr>
          <w:rFonts w:ascii="Times New Roman" w:hAnsi="Times New Roman"/>
          <w:b/>
          <w:bCs/>
          <w:sz w:val="26"/>
          <w:szCs w:val="26"/>
        </w:rPr>
        <w:t>3</w:t>
      </w:r>
      <w:r w:rsidRPr="23C96B68">
        <w:rPr>
          <w:rFonts w:ascii="Times New Roman" w:hAnsi="Times New Roman"/>
          <w:b/>
          <w:bCs/>
          <w:sz w:val="26"/>
          <w:szCs w:val="26"/>
        </w:rPr>
        <w:t xml:space="preserve">. </w:t>
      </w:r>
      <w:r w:rsidRPr="23C96B68">
        <w:rPr>
          <w:rFonts w:ascii="Times New Roman" w:hAnsi="Times New Roman"/>
          <w:b/>
          <w:bCs/>
          <w:sz w:val="26"/>
          <w:szCs w:val="26"/>
          <w:u w:val="single"/>
        </w:rPr>
        <w:t>Da decadência administrativa: parcela incorporada há 20 anos e percebida com a GAE há 12 anos</w:t>
      </w:r>
    </w:p>
    <w:p w14:paraId="020CB06D" w14:textId="29B7C8E7" w:rsidR="6E1B75D1" w:rsidRDefault="6E1B75D1" w:rsidP="6E1B75D1">
      <w:pPr>
        <w:spacing w:after="0" w:line="240" w:lineRule="auto"/>
        <w:ind w:firstLine="1701"/>
        <w:jc w:val="both"/>
        <w:rPr>
          <w:rFonts w:ascii="Times New Roman" w:hAnsi="Times New Roman"/>
          <w:sz w:val="26"/>
          <w:szCs w:val="26"/>
        </w:rPr>
      </w:pPr>
    </w:p>
    <w:p w14:paraId="716514CE" w14:textId="135FBAE7" w:rsidR="7A809187" w:rsidRDefault="7A809187"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No caso do/a recorrente, tanto os quintos incorporados, transformados em VPNI, quanto a GAE, </w:t>
      </w:r>
      <w:r w:rsidRPr="6E1B75D1">
        <w:rPr>
          <w:rFonts w:ascii="Times New Roman" w:hAnsi="Times New Roman"/>
          <w:b/>
          <w:bCs/>
          <w:sz w:val="26"/>
          <w:szCs w:val="26"/>
        </w:rPr>
        <w:t>são pagos, cumulativamente, há 12 (doze) anos, de forma contínua e ininterrupta</w:t>
      </w:r>
      <w:r w:rsidRPr="6E1B75D1">
        <w:rPr>
          <w:rFonts w:ascii="Times New Roman" w:hAnsi="Times New Roman"/>
          <w:sz w:val="26"/>
          <w:szCs w:val="26"/>
        </w:rPr>
        <w:t xml:space="preserve">. A VPNI, em si, foi incorporada há </w:t>
      </w:r>
      <w:r w:rsidRPr="6E1B75D1">
        <w:rPr>
          <w:rFonts w:ascii="Times New Roman" w:hAnsi="Times New Roman"/>
          <w:b/>
          <w:bCs/>
          <w:sz w:val="26"/>
          <w:szCs w:val="26"/>
        </w:rPr>
        <w:t>20 (vinte) anos</w:t>
      </w:r>
      <w:r w:rsidRPr="6E1B75D1">
        <w:rPr>
          <w:rFonts w:ascii="Times New Roman" w:hAnsi="Times New Roman"/>
          <w:sz w:val="26"/>
          <w:szCs w:val="26"/>
        </w:rPr>
        <w:t>. Logo, mesmo uma análise superficial torna evidente que transcorreu o prazo decadencial previsto no parágrafo primeiro do artigo 54 da Lei 9.784/1999:</w:t>
      </w:r>
    </w:p>
    <w:p w14:paraId="4FA9ADC2" w14:textId="0177ABC1" w:rsidR="6E1B75D1" w:rsidRDefault="6E1B75D1" w:rsidP="6E1B75D1">
      <w:pPr>
        <w:spacing w:after="0" w:line="240" w:lineRule="auto"/>
        <w:ind w:firstLine="1701"/>
        <w:jc w:val="both"/>
        <w:rPr>
          <w:rFonts w:ascii="Times New Roman" w:hAnsi="Times New Roman"/>
          <w:sz w:val="26"/>
          <w:szCs w:val="26"/>
        </w:rPr>
      </w:pPr>
    </w:p>
    <w:p w14:paraId="63F20119" w14:textId="02DD3CAD" w:rsidR="7A809187" w:rsidRDefault="7A809187" w:rsidP="6E1B75D1">
      <w:pPr>
        <w:spacing w:after="0" w:line="240" w:lineRule="auto"/>
        <w:ind w:left="1701"/>
        <w:jc w:val="both"/>
        <w:rPr>
          <w:rFonts w:ascii="Times New Roman" w:hAnsi="Times New Roman"/>
        </w:rPr>
      </w:pPr>
      <w:r w:rsidRPr="6E1B75D1">
        <w:rPr>
          <w:rFonts w:ascii="Times New Roman" w:hAnsi="Times New Roman"/>
        </w:rPr>
        <w:t xml:space="preserve">Art. 54. O direito da Administração de anular os atos administrativos de que decorram efeitos favoráveis para os destinatários decai em cinco anos, </w:t>
      </w:r>
      <w:r w:rsidRPr="6E1B75D1">
        <w:rPr>
          <w:rFonts w:ascii="Times New Roman" w:hAnsi="Times New Roman"/>
          <w:b/>
          <w:bCs/>
        </w:rPr>
        <w:t>contados da data em que foram praticados,</w:t>
      </w:r>
      <w:r w:rsidRPr="6E1B75D1">
        <w:rPr>
          <w:rFonts w:ascii="Times New Roman" w:hAnsi="Times New Roman"/>
        </w:rPr>
        <w:t xml:space="preserve"> salvo comprovada má-fé. </w:t>
      </w:r>
    </w:p>
    <w:p w14:paraId="4041C5FA" w14:textId="5183E43B" w:rsidR="7A809187" w:rsidRDefault="7A809187" w:rsidP="6E1B75D1">
      <w:pPr>
        <w:spacing w:after="0" w:line="240" w:lineRule="auto"/>
        <w:ind w:left="1701"/>
        <w:jc w:val="both"/>
        <w:rPr>
          <w:rFonts w:ascii="Times New Roman" w:hAnsi="Times New Roman"/>
        </w:rPr>
      </w:pPr>
      <w:r w:rsidRPr="6E1B75D1">
        <w:rPr>
          <w:rFonts w:ascii="Times New Roman" w:hAnsi="Times New Roman"/>
        </w:rPr>
        <w:t xml:space="preserve"> </w:t>
      </w:r>
    </w:p>
    <w:p w14:paraId="3CD3CCE0" w14:textId="56989B9C" w:rsidR="7A809187" w:rsidRDefault="7A809187" w:rsidP="6E1B75D1">
      <w:pPr>
        <w:spacing w:after="0" w:line="240" w:lineRule="auto"/>
        <w:ind w:left="1701"/>
        <w:jc w:val="both"/>
        <w:rPr>
          <w:rFonts w:ascii="Times New Roman" w:hAnsi="Times New Roman"/>
        </w:rPr>
      </w:pPr>
      <w:r w:rsidRPr="6E1B75D1">
        <w:rPr>
          <w:rFonts w:ascii="Times New Roman" w:hAnsi="Times New Roman"/>
        </w:rPr>
        <w:t>§ 1º No caso de efeitos patrimoniais contínuos,</w:t>
      </w:r>
      <w:r w:rsidRPr="6E1B75D1">
        <w:rPr>
          <w:rFonts w:ascii="Times New Roman" w:hAnsi="Times New Roman"/>
          <w:b/>
          <w:bCs/>
        </w:rPr>
        <w:t xml:space="preserve"> o prazo de decadência contar-se-á da percepção do primeiro pagamento.</w:t>
      </w:r>
      <w:r w:rsidRPr="6E1B75D1">
        <w:rPr>
          <w:rFonts w:ascii="Times New Roman" w:hAnsi="Times New Roman"/>
        </w:rPr>
        <w:t xml:space="preserve"> </w:t>
      </w:r>
    </w:p>
    <w:p w14:paraId="6577F13C" w14:textId="4FE9C86B" w:rsidR="7A809187" w:rsidRDefault="7A809187" w:rsidP="6E1B75D1">
      <w:pPr>
        <w:spacing w:after="0" w:line="240" w:lineRule="auto"/>
        <w:ind w:left="1701"/>
        <w:jc w:val="both"/>
        <w:rPr>
          <w:rFonts w:ascii="Times New Roman" w:hAnsi="Times New Roman"/>
        </w:rPr>
      </w:pPr>
      <w:r w:rsidRPr="6E1B75D1">
        <w:rPr>
          <w:rFonts w:ascii="Times New Roman" w:hAnsi="Times New Roman"/>
        </w:rPr>
        <w:t xml:space="preserve"> </w:t>
      </w:r>
    </w:p>
    <w:p w14:paraId="1F796CAF" w14:textId="58B9B503" w:rsidR="7A809187" w:rsidRDefault="7A809187" w:rsidP="6E1B75D1">
      <w:pPr>
        <w:spacing w:after="0" w:line="240" w:lineRule="auto"/>
        <w:ind w:left="1701"/>
        <w:jc w:val="both"/>
        <w:rPr>
          <w:rFonts w:ascii="Times New Roman" w:hAnsi="Times New Roman"/>
        </w:rPr>
      </w:pPr>
      <w:r w:rsidRPr="6E1B75D1">
        <w:rPr>
          <w:rFonts w:ascii="Times New Roman" w:hAnsi="Times New Roman"/>
        </w:rPr>
        <w:t>§ 2º Considera-se exercício do direito de anular qualquer medida de autoridade administrativa que importe impugnação à validade do ato.</w:t>
      </w:r>
    </w:p>
    <w:p w14:paraId="7148AC59" w14:textId="51A519B5" w:rsidR="6E1B75D1" w:rsidRDefault="6E1B75D1" w:rsidP="6E1B75D1">
      <w:pPr>
        <w:spacing w:after="0" w:line="240" w:lineRule="auto"/>
        <w:ind w:firstLine="1701"/>
        <w:jc w:val="both"/>
        <w:rPr>
          <w:rFonts w:ascii="Times New Roman" w:hAnsi="Times New Roman"/>
          <w:sz w:val="26"/>
          <w:szCs w:val="26"/>
        </w:rPr>
      </w:pPr>
    </w:p>
    <w:p w14:paraId="2BC91B8A" w14:textId="13D55F11" w:rsidR="7A809187" w:rsidRDefault="7A809187"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lastRenderedPageBreak/>
        <w:t>Assim, tendo em vista que a exclusão de parcela remuneratória (VPNI ou GAE) que se pretende implementar é posterior ao prazo decadencial estabelecido pelo artigo 54 da Lei 9.784, de 1999, não deveria ocorrer a supressão ilegal. Não houve inovação legislativa sobre a matéria e qualquer autoridade administrativa (inclusive o TCU) está sujeito aos efeitos da decadência.</w:t>
      </w:r>
    </w:p>
    <w:p w14:paraId="405B908F" w14:textId="0FBB0190" w:rsidR="6E1B75D1" w:rsidRDefault="6E1B75D1" w:rsidP="6E1B75D1">
      <w:pPr>
        <w:spacing w:after="0" w:line="240" w:lineRule="auto"/>
        <w:ind w:firstLine="1701"/>
        <w:jc w:val="both"/>
        <w:rPr>
          <w:rFonts w:ascii="Times New Roman" w:hAnsi="Times New Roman"/>
        </w:rPr>
      </w:pPr>
    </w:p>
    <w:p w14:paraId="7C1D56D7" w14:textId="131267E4"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É assim porque a referida lei estabelece, de modo expresso, que o prazo decadencial tem seu início </w:t>
      </w:r>
      <w:r w:rsidRPr="6E1B75D1">
        <w:rPr>
          <w:rFonts w:ascii="Times New Roman" w:hAnsi="Times New Roman"/>
          <w:b/>
          <w:bCs/>
          <w:sz w:val="26"/>
          <w:szCs w:val="26"/>
        </w:rPr>
        <w:t>a partir do momento em que o direito for implementado</w:t>
      </w:r>
      <w:r w:rsidRPr="6E1B75D1">
        <w:rPr>
          <w:rFonts w:ascii="Times New Roman" w:hAnsi="Times New Roman"/>
          <w:sz w:val="26"/>
          <w:szCs w:val="26"/>
        </w:rPr>
        <w:t>, redação a qual a jurisprudência tem dado amplo acolhimento, do que servem de exemplos os seguintes julgados, do</w:t>
      </w:r>
      <w:r w:rsidRPr="6E1B75D1">
        <w:rPr>
          <w:rFonts w:ascii="Times New Roman" w:hAnsi="Times New Roman"/>
          <w:b/>
          <w:bCs/>
          <w:sz w:val="26"/>
          <w:szCs w:val="26"/>
        </w:rPr>
        <w:t xml:space="preserve"> Superior Tribunal de Justiça</w:t>
      </w:r>
      <w:r w:rsidRPr="6E1B75D1">
        <w:rPr>
          <w:rFonts w:ascii="Times New Roman" w:hAnsi="Times New Roman"/>
          <w:sz w:val="26"/>
          <w:szCs w:val="26"/>
        </w:rPr>
        <w:t>:</w:t>
      </w:r>
    </w:p>
    <w:p w14:paraId="7917057C" w14:textId="21569E0E" w:rsidR="6E1B75D1" w:rsidRDefault="6E1B75D1" w:rsidP="6E1B75D1">
      <w:pPr>
        <w:spacing w:after="0" w:line="240" w:lineRule="auto"/>
        <w:ind w:firstLine="1701"/>
        <w:jc w:val="both"/>
        <w:rPr>
          <w:rFonts w:ascii="Times New Roman" w:hAnsi="Times New Roman"/>
          <w:sz w:val="26"/>
          <w:szCs w:val="26"/>
        </w:rPr>
      </w:pPr>
    </w:p>
    <w:p w14:paraId="362BE48D" w14:textId="732A91D5" w:rsidR="422012D4" w:rsidRDefault="422012D4" w:rsidP="6E1B75D1">
      <w:pPr>
        <w:spacing w:after="0" w:line="240" w:lineRule="auto"/>
        <w:ind w:left="1701"/>
        <w:jc w:val="both"/>
        <w:rPr>
          <w:rFonts w:ascii="Times New Roman" w:hAnsi="Times New Roman"/>
        </w:rPr>
      </w:pPr>
      <w:r w:rsidRPr="6E1B75D1">
        <w:rPr>
          <w:rFonts w:ascii="Times New Roman" w:hAnsi="Times New Roman"/>
        </w:rPr>
        <w:t xml:space="preserve">ADMINISTRATIVO. SERVIDOR PÚBLICO. APOSENTADORIA. CONTAGEM DE TEMPO. IRREGULARIDADE APURADA PELO TRIBUNAL DE CONTAS DA UNIÃO. REVISÃO DO ATO. PRAZO DECADENCIAL. ART. 54 DA LEI N. 9.784/99. TERMO INICIAL. 1. A aposentadoria de servidor público não é ato complexo, pois não se conjugam as vontades da Administração e do Tribunal de Contas para concede-la. São atos distintos e praticados no manejo de competências igualmente diversas, na medida em que a primeira concede e o segundo controla sua legalidade. 2. </w:t>
      </w:r>
      <w:r w:rsidRPr="6E1B75D1">
        <w:rPr>
          <w:rFonts w:ascii="Times New Roman" w:hAnsi="Times New Roman"/>
          <w:b/>
          <w:bCs/>
        </w:rPr>
        <w:t>O art. 54 da Lei n. 9.784/99 vem a consolidar o princípio da segurança jurídica dentro do processo administrativo, tendo por precípua finalidade a obtenção de um estado de coisas que enseje estabilidade e previsibilidade dos atos.</w:t>
      </w:r>
      <w:r w:rsidRPr="6E1B75D1">
        <w:rPr>
          <w:rFonts w:ascii="Times New Roman" w:hAnsi="Times New Roman"/>
        </w:rPr>
        <w:t xml:space="preserve"> 3. Não é viável a afirmativa de que o termo inicial para a incidência do art. 54 da Lei n. 9.784/99 é a conclusão do ato de aposentadoria, após a manifestação dos Tribunal de Contas, pois o período que permeia a primeira concessão pela Administração e a conclusão do controle de legalidade deve observar os princípios constitucionais da Eficiência e da Proteção da Confiança Legítima, bem como a garantia de duração razoável do processo. 4. Recurso especial improvido. (REsp 1047524/SC, Rel. Ministro JORGE MUSSI, QUINTA TURMA, julgado em 16/06/2009, DJe 03/08/2009)</w:t>
      </w:r>
    </w:p>
    <w:p w14:paraId="798D130E" w14:textId="2E9DF638" w:rsidR="422012D4" w:rsidRDefault="422012D4" w:rsidP="6E1B75D1">
      <w:pPr>
        <w:spacing w:after="0" w:line="240" w:lineRule="auto"/>
        <w:ind w:left="1701"/>
        <w:jc w:val="both"/>
        <w:rPr>
          <w:rFonts w:ascii="Times New Roman" w:hAnsi="Times New Roman"/>
        </w:rPr>
      </w:pPr>
      <w:r w:rsidRPr="6E1B75D1">
        <w:rPr>
          <w:rFonts w:ascii="Times New Roman" w:hAnsi="Times New Roman"/>
        </w:rPr>
        <w:t xml:space="preserve"> </w:t>
      </w:r>
    </w:p>
    <w:p w14:paraId="6507DFE3" w14:textId="286FE6E2" w:rsidR="422012D4" w:rsidRDefault="422012D4" w:rsidP="6E1B75D1">
      <w:pPr>
        <w:spacing w:after="0" w:line="240" w:lineRule="auto"/>
        <w:ind w:left="1701"/>
        <w:jc w:val="both"/>
        <w:rPr>
          <w:rFonts w:ascii="Times New Roman" w:hAnsi="Times New Roman"/>
        </w:rPr>
      </w:pPr>
      <w:r w:rsidRPr="6E1B75D1">
        <w:rPr>
          <w:rFonts w:ascii="Times New Roman" w:hAnsi="Times New Roman"/>
        </w:rPr>
        <w:t xml:space="preserve">ADMINISTRATIVO - MANDADO DE SEGURANÇA PREVENTIVO - FUNCIONÁRIOS DA CONAB - ANISTIA - REVISÃO DOS ATOS - IMPOSSIBILIDADE – PRESCRIÇÃO ADMINISTRATIVA – § 1º, DO ART. 54, DA LEI 9.784/99 - SEGURANÇA CONCEDIDA. 1 – Pode a Administração utilizar de seu poder de autotutela, que possibilita a esta anular ou revogar seus próprios atos, quando eivados de nulidades. Entretanto, deve-se preservar a estabilidade das relações jurídicas firmadas, respeitando-se o direito adquirido e incorporado ao patrimônio material e moral do particular. Na esteira de culta doutrina e consoante o art. 54, parág. 1º, da Lei nº 9.784/99, o prazo decadencial para anulação dos atos administrativos é de 05 (cinco) anos da percepção do primeiro pagamento. No mesmo sentido, precedentes desta Corte (MS nºs 7.455/DF, Rel. Ministro VICENTE LEAL, DJU de 18.03.2002 e 6.566/DF, Rel. p/acórdão Ministro PEÇANHA MARTINS, DJU de 15.05.2000). 2 – No caso sub judice, tendo sido os impetrantes anistiados e readmitidos pela Portaria nº 237, de 21.12.1994, publicada em 23.12.1994, decorridos, portanto, mais de cinco anos entre a sua edição e a data da impetração, em 12.03.2001, não pode a Administração Pública revisar tal ato em razão da prescritibilidade dos atos administrativos. 3 – Segurança concedida para afastar eventual desconstituição dos atos de anistia em benefício dos impetrantes, determinando suas manutenções </w:t>
      </w:r>
      <w:r w:rsidRPr="6E1B75D1">
        <w:rPr>
          <w:rFonts w:ascii="Times New Roman" w:hAnsi="Times New Roman"/>
        </w:rPr>
        <w:lastRenderedPageBreak/>
        <w:t>no serviço público federal. Custas ex lege. Honorários advocatícios incabíveis, nos termos das Súmulas 512/STF e 105/STJ. (STJ, Terceira Seção, MS 7436, Rel. Min. Jorge Scartezzini, DJ 17/02/2003).</w:t>
      </w:r>
    </w:p>
    <w:p w14:paraId="31A44864" w14:textId="0E346D5D" w:rsidR="6E1B75D1" w:rsidRDefault="6E1B75D1" w:rsidP="6E1B75D1">
      <w:pPr>
        <w:spacing w:after="0" w:line="240" w:lineRule="auto"/>
        <w:ind w:firstLine="1701"/>
        <w:jc w:val="both"/>
        <w:rPr>
          <w:rFonts w:ascii="Times New Roman" w:hAnsi="Times New Roman"/>
          <w:sz w:val="26"/>
          <w:szCs w:val="26"/>
        </w:rPr>
      </w:pPr>
    </w:p>
    <w:p w14:paraId="4AE582CA" w14:textId="17BF4047"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O </w:t>
      </w:r>
      <w:r w:rsidRPr="6E1B75D1">
        <w:rPr>
          <w:rFonts w:ascii="Times New Roman" w:hAnsi="Times New Roman"/>
          <w:b/>
          <w:bCs/>
          <w:sz w:val="26"/>
          <w:szCs w:val="26"/>
        </w:rPr>
        <w:t>Supremo Tribunal Federal</w:t>
      </w:r>
      <w:r w:rsidRPr="6E1B75D1">
        <w:rPr>
          <w:rFonts w:ascii="Times New Roman" w:hAnsi="Times New Roman"/>
          <w:sz w:val="26"/>
          <w:szCs w:val="26"/>
        </w:rPr>
        <w:t xml:space="preserve"> também se posiciona pela manutenção dos atos administrativos quando decorridos cinco anos da produção de seus efeitos, em razão do artigo 54 da Lei 9.784, de 1999:</w:t>
      </w:r>
    </w:p>
    <w:p w14:paraId="39D833FD" w14:textId="7B2DD2B8" w:rsidR="6E1B75D1" w:rsidRDefault="6E1B75D1" w:rsidP="6E1B75D1">
      <w:pPr>
        <w:spacing w:after="0" w:line="240" w:lineRule="auto"/>
        <w:ind w:firstLine="1701"/>
        <w:jc w:val="both"/>
        <w:rPr>
          <w:rFonts w:ascii="Times New Roman" w:hAnsi="Times New Roman"/>
          <w:sz w:val="26"/>
          <w:szCs w:val="26"/>
        </w:rPr>
      </w:pPr>
    </w:p>
    <w:p w14:paraId="78593FCD" w14:textId="4A3E6920" w:rsidR="422012D4" w:rsidRDefault="422012D4" w:rsidP="6E1B75D1">
      <w:pPr>
        <w:spacing w:after="0" w:line="240" w:lineRule="auto"/>
        <w:ind w:left="1701"/>
        <w:jc w:val="both"/>
        <w:rPr>
          <w:rFonts w:ascii="Times New Roman" w:hAnsi="Times New Roman"/>
        </w:rPr>
      </w:pPr>
      <w:r w:rsidRPr="6E1B75D1">
        <w:rPr>
          <w:rFonts w:ascii="Times New Roman" w:hAnsi="Times New Roman"/>
        </w:rPr>
        <w:t xml:space="preserve">MANDADO DE SEGURANÇA. TRIBUNAL DE CONTAS DA UNIÃO. ANULAÇÃO DE ASCENSÕES FUNCIONAIS CONCEDIDAS AOS EMPREGADOS DA ECT. DECADÊNCIA DO DIREITO DE REVER A LEGALIDADE DAS ASCENSÕES. NECESSIDADE DE AS PARTES ATINGIDAS PELO ATO COATOR INTEGRAREM A LIDE. 1. Decadência do direito de a Administração Pública rever a legalidade dos atos de ascensão funcional dos empregados da Empresa Brasileira de Correios e Telégrafos - ECT, praticados entre 1993 e 1995 (Art. 54 da Lei n. 9.784/1999). 2. Direito ao contraditório e à ampla defesa a ser garantido aos beneficiários de atos administrativos inerentes à sua condição funcional para a validade de decisões do Tribunal de Contas da União que importem em sua anulação ou revogação. Súmula Vinculante n. 3. Precedentes. 3. Mandado de segurança concedido. (MS 26393, Relator(a): Min. CÁRMEN LÚCIA, Tribunal Pleno, julgado em 29/10/2009, DJe-030) </w:t>
      </w:r>
    </w:p>
    <w:p w14:paraId="5DECEA2C" w14:textId="15A5E6AE"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28FC5ED" w14:textId="53131058"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Sobre este ponto, destaca-se a necessidade de observância ao prazo decadencial para a revisão dos atos, “sob pena de </w:t>
      </w:r>
      <w:r w:rsidRPr="6E1B75D1">
        <w:rPr>
          <w:rFonts w:ascii="Times New Roman" w:hAnsi="Times New Roman"/>
          <w:b/>
          <w:bCs/>
          <w:sz w:val="26"/>
          <w:szCs w:val="26"/>
        </w:rPr>
        <w:t>ofensa ao princípio da confiança</w:t>
      </w:r>
      <w:r w:rsidRPr="6E1B75D1">
        <w:rPr>
          <w:rFonts w:ascii="Times New Roman" w:hAnsi="Times New Roman"/>
          <w:sz w:val="26"/>
          <w:szCs w:val="26"/>
        </w:rPr>
        <w:t>, face subjetiva do princípio da segurança jurídica”. Conforme se extrai do voto relator:</w:t>
      </w:r>
    </w:p>
    <w:p w14:paraId="739DCD62" w14:textId="5F58B37A"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065F914" w14:textId="1EB93B39" w:rsidR="422012D4" w:rsidRDefault="422012D4" w:rsidP="6E1B75D1">
      <w:pPr>
        <w:spacing w:after="0" w:line="240" w:lineRule="auto"/>
        <w:ind w:left="1701"/>
        <w:jc w:val="both"/>
        <w:rPr>
          <w:rFonts w:ascii="Times New Roman" w:hAnsi="Times New Roman"/>
        </w:rPr>
      </w:pPr>
      <w:r w:rsidRPr="6E1B75D1">
        <w:rPr>
          <w:rFonts w:ascii="Times New Roman" w:hAnsi="Times New Roman"/>
        </w:rPr>
        <w:t xml:space="preserve">Assim, uma vez que o ato formal do órgão administrativo – que verifica o preenchimento dos requisitos legais e concede a aposentadoria ou pensão – tem o condão de </w:t>
      </w:r>
      <w:r w:rsidRPr="6E1B75D1">
        <w:rPr>
          <w:rFonts w:ascii="Times New Roman" w:hAnsi="Times New Roman"/>
          <w:b/>
          <w:bCs/>
        </w:rPr>
        <w:t>criar situações jurídicas com plena aparência de legalidade e legitimidade</w:t>
      </w:r>
      <w:r w:rsidRPr="6E1B75D1">
        <w:rPr>
          <w:rFonts w:ascii="Times New Roman" w:hAnsi="Times New Roman"/>
        </w:rPr>
        <w:t>, é de admitir-se, portanto, que também a atuação do TCU, no tocante ao julgamento da legalidade e registro dessas aposentadorias ou pensões, deva estar sujeita a um prazo razoável, sob pena de ofensa ao princípio da confiança, face subjetiva do princípio da segurança jurídica.</w:t>
      </w:r>
    </w:p>
    <w:p w14:paraId="5E67CCE7" w14:textId="16020BAD"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23C5CD2" w14:textId="1ABB36E6"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Veja-se ainda o importante destaque feito pelo Ministro Alexandre de Moraes acerca do prazo para que a Corte de Contas revise suas decisões e os prejuízos de sua inércia:</w:t>
      </w:r>
    </w:p>
    <w:p w14:paraId="2225D6B7" w14:textId="0C9A5BEB"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2A40839" w14:textId="186A56F8" w:rsidR="422012D4" w:rsidRDefault="422012D4" w:rsidP="6E1B75D1">
      <w:pPr>
        <w:spacing w:after="0" w:line="240" w:lineRule="auto"/>
        <w:ind w:left="1701"/>
        <w:jc w:val="both"/>
        <w:rPr>
          <w:rFonts w:ascii="Times New Roman" w:hAnsi="Times New Roman"/>
        </w:rPr>
      </w:pPr>
      <w:r w:rsidRPr="6E1B75D1">
        <w:rPr>
          <w:rFonts w:ascii="Times New Roman" w:hAnsi="Times New Roman"/>
        </w:rPr>
        <w:t xml:space="preserve">E há casos - na Turma, nós já chegamos a analisar alguns casos - em que, depois de </w:t>
      </w:r>
      <w:r w:rsidRPr="6E1B75D1">
        <w:rPr>
          <w:rFonts w:ascii="Times New Roman" w:hAnsi="Times New Roman"/>
          <w:b/>
          <w:bCs/>
        </w:rPr>
        <w:t>seis, sete, oito, dez, doze, anos,</w:t>
      </w:r>
      <w:r w:rsidRPr="6E1B75D1">
        <w:rPr>
          <w:rFonts w:ascii="Times New Roman" w:hAnsi="Times New Roman"/>
        </w:rPr>
        <w:t xml:space="preserve"> a pessoa é </w:t>
      </w:r>
      <w:r w:rsidRPr="6E1B75D1">
        <w:rPr>
          <w:rFonts w:ascii="Times New Roman" w:hAnsi="Times New Roman"/>
          <w:b/>
          <w:bCs/>
        </w:rPr>
        <w:t>surpreendida com uma notificação</w:t>
      </w:r>
      <w:r w:rsidRPr="6E1B75D1">
        <w:rPr>
          <w:rFonts w:ascii="Times New Roman" w:hAnsi="Times New Roman"/>
        </w:rPr>
        <w:t xml:space="preserve"> dizendo que a sua aposentadoria, se não está cortada, está reduzida a setenta por cento, como no caso aqui, ou cinquenta por cento. (grifou-se)</w:t>
      </w:r>
    </w:p>
    <w:p w14:paraId="139B057E" w14:textId="102F0024"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BAF1E63" w14:textId="20B4058B"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Dessa forma, houve a decadência do direito da Administração de anular a incorporação dos quintos que tenham origem em função comissionada, assim também do direito de anular a implementação da GAE, e o pagamento cumulativo </w:t>
      </w:r>
      <w:r w:rsidRPr="6E1B75D1">
        <w:rPr>
          <w:rFonts w:ascii="Times New Roman" w:hAnsi="Times New Roman"/>
          <w:sz w:val="26"/>
          <w:szCs w:val="26"/>
        </w:rPr>
        <w:lastRenderedPageBreak/>
        <w:t>das duas vantagens, sempre que o primeiro pagamento cumulativo tenha se verificado há mais de cinco anos.</w:t>
      </w:r>
    </w:p>
    <w:p w14:paraId="7C289215" w14:textId="520E67A0" w:rsidR="6E1B75D1" w:rsidRDefault="6E1B75D1" w:rsidP="6E1B75D1">
      <w:pPr>
        <w:spacing w:after="0" w:line="240" w:lineRule="auto"/>
        <w:ind w:firstLine="1701"/>
        <w:jc w:val="both"/>
        <w:rPr>
          <w:rFonts w:ascii="Times New Roman" w:hAnsi="Times New Roman"/>
          <w:sz w:val="26"/>
          <w:szCs w:val="26"/>
        </w:rPr>
      </w:pPr>
    </w:p>
    <w:p w14:paraId="36C31281" w14:textId="3A060C85" w:rsidR="422012D4" w:rsidRDefault="422012D4"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Em virtude da decadência administrativa e da continuidade do pagamento, também advém o dever de manutenção do </w:t>
      </w:r>
      <w:r w:rsidRPr="6E1B75D1">
        <w:rPr>
          <w:rFonts w:ascii="Times New Roman" w:hAnsi="Times New Roman"/>
          <w:i/>
          <w:iCs/>
          <w:sz w:val="26"/>
          <w:szCs w:val="26"/>
        </w:rPr>
        <w:t>status quo ante</w:t>
      </w:r>
      <w:r w:rsidRPr="6E1B75D1">
        <w:rPr>
          <w:rFonts w:ascii="Times New Roman" w:hAnsi="Times New Roman"/>
          <w:sz w:val="26"/>
          <w:szCs w:val="26"/>
        </w:rPr>
        <w:t>, consoante o qual deve ser mantida a percepção do pagamento da VPNI oriunda de quintos incorporados, cumulativamente com a GAE, ambas incorporadas à remuneração do servidor.</w:t>
      </w:r>
    </w:p>
    <w:p w14:paraId="003D2837" w14:textId="54C48A85" w:rsidR="6E1B75D1" w:rsidRDefault="6E1B75D1" w:rsidP="6E1B75D1">
      <w:pPr>
        <w:spacing w:after="0" w:line="240" w:lineRule="auto"/>
        <w:ind w:firstLine="1701"/>
        <w:jc w:val="both"/>
        <w:rPr>
          <w:rFonts w:ascii="Times New Roman" w:hAnsi="Times New Roman"/>
          <w:sz w:val="26"/>
          <w:szCs w:val="26"/>
        </w:rPr>
      </w:pPr>
    </w:p>
    <w:p w14:paraId="1DBF371A" w14:textId="630896AD" w:rsidR="3E23E796" w:rsidRDefault="3E23E796" w:rsidP="6E1B75D1">
      <w:pPr>
        <w:spacing w:after="0" w:line="240" w:lineRule="auto"/>
        <w:jc w:val="both"/>
        <w:rPr>
          <w:rFonts w:ascii="Times New Roman" w:hAnsi="Times New Roman"/>
          <w:b/>
          <w:bCs/>
          <w:sz w:val="26"/>
          <w:szCs w:val="26"/>
          <w:u w:val="single"/>
        </w:rPr>
      </w:pPr>
      <w:r w:rsidRPr="23C96B68">
        <w:rPr>
          <w:rFonts w:ascii="Times New Roman" w:hAnsi="Times New Roman"/>
          <w:b/>
          <w:bCs/>
          <w:sz w:val="26"/>
          <w:szCs w:val="26"/>
        </w:rPr>
        <w:t>2.</w:t>
      </w:r>
      <w:r w:rsidR="0DEEF333" w:rsidRPr="23C96B68">
        <w:rPr>
          <w:rFonts w:ascii="Times New Roman" w:hAnsi="Times New Roman"/>
          <w:b/>
          <w:bCs/>
          <w:sz w:val="26"/>
          <w:szCs w:val="26"/>
        </w:rPr>
        <w:t>4.</w:t>
      </w:r>
      <w:r w:rsidRPr="23C96B68">
        <w:rPr>
          <w:rFonts w:ascii="Times New Roman" w:hAnsi="Times New Roman"/>
          <w:b/>
          <w:bCs/>
          <w:sz w:val="26"/>
          <w:szCs w:val="26"/>
        </w:rPr>
        <w:t xml:space="preserve"> </w:t>
      </w:r>
      <w:r w:rsidRPr="23C96B68">
        <w:rPr>
          <w:rFonts w:ascii="Times New Roman" w:hAnsi="Times New Roman"/>
          <w:b/>
          <w:bCs/>
          <w:sz w:val="26"/>
          <w:szCs w:val="26"/>
          <w:u w:val="single"/>
        </w:rPr>
        <w:t>Da VPNI oriunda de quintos incorporados: natureza jurídica da GRG e da FC, necessidade de designação e encargos adicionais, pagamento apenas para alguns oficiais de justiça</w:t>
      </w:r>
    </w:p>
    <w:p w14:paraId="18AE1F25" w14:textId="4C5F64CF" w:rsidR="6E1B75D1" w:rsidRDefault="6E1B75D1" w:rsidP="6E1B75D1">
      <w:pPr>
        <w:spacing w:after="0" w:line="240" w:lineRule="auto"/>
        <w:ind w:firstLine="1701"/>
        <w:jc w:val="both"/>
        <w:rPr>
          <w:rFonts w:ascii="Times New Roman" w:hAnsi="Times New Roman"/>
          <w:sz w:val="26"/>
          <w:szCs w:val="26"/>
        </w:rPr>
      </w:pPr>
    </w:p>
    <w:p w14:paraId="0708AEE5" w14:textId="41D44E93"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Aos servidores ocupantes do cargo de Analista Judiciário, Especialidade Oficial de Justiça Avaliador Federal, que exerceram funções de confiança, é devido o pagamento da Vantagem Pessoal Nominalmente Identificada, oriunda de quintos incorporados. Essa incorporação encontrava-se prevista no artigo 62, § 2º, da Lei 8.112/1990, que assim previa:</w:t>
      </w:r>
    </w:p>
    <w:p w14:paraId="7CFFF494" w14:textId="34617E9A" w:rsidR="6E1B75D1" w:rsidRDefault="6E1B75D1" w:rsidP="6E1B75D1">
      <w:pPr>
        <w:spacing w:after="0" w:line="240" w:lineRule="auto"/>
        <w:ind w:firstLine="1701"/>
        <w:jc w:val="both"/>
        <w:rPr>
          <w:rFonts w:ascii="Times New Roman" w:hAnsi="Times New Roman"/>
          <w:sz w:val="26"/>
          <w:szCs w:val="26"/>
        </w:rPr>
      </w:pPr>
    </w:p>
    <w:p w14:paraId="4D90E291" w14:textId="7DB7A911"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Art. 62. Ao servidor investido em função de direção, chefia ou assessoramento é devida uma gratificação pelo seu exercício. </w:t>
      </w:r>
    </w:p>
    <w:p w14:paraId="4D7C0FFA" w14:textId="060A84C5"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5BE1A1D9" w14:textId="1E7A83CA"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2º A gratificação prevista neste </w:t>
      </w:r>
      <w:r w:rsidRPr="6E1B75D1">
        <w:rPr>
          <w:rFonts w:ascii="Times New Roman" w:hAnsi="Times New Roman"/>
          <w:b/>
          <w:bCs/>
        </w:rPr>
        <w:t>artigo incorpora-se à remuneração do servidor e integra o provento da aposentadoria, na proporção de 1/5 (um quinto) por ano de exercício na função de direção, chefia ou assessoramento, até o limite de 5 (cinco) quintos</w:t>
      </w:r>
      <w:r w:rsidRPr="6E1B75D1">
        <w:rPr>
          <w:rFonts w:ascii="Times New Roman" w:hAnsi="Times New Roman"/>
        </w:rPr>
        <w:t xml:space="preserve">. (grifou-se) </w:t>
      </w:r>
    </w:p>
    <w:p w14:paraId="10D1E620" w14:textId="6F96DA8B"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7493F1C" w14:textId="00F22D74"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Ao dispor sobre o assunto, a Lei 8.911/1994, no seu artigo 3º, preceituava:</w:t>
      </w:r>
    </w:p>
    <w:p w14:paraId="3AE801B4" w14:textId="653D6945"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A680AFB" w14:textId="0F86FD34"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w:t>
      </w:r>
    </w:p>
    <w:p w14:paraId="237EEE7A" w14:textId="4D868D94" w:rsidR="52433993" w:rsidRDefault="52433993" w:rsidP="6E1B75D1">
      <w:pPr>
        <w:spacing w:after="0" w:line="240" w:lineRule="auto"/>
        <w:ind w:left="1701"/>
        <w:jc w:val="both"/>
        <w:rPr>
          <w:rFonts w:ascii="Times New Roman" w:hAnsi="Times New Roman"/>
          <w:sz w:val="26"/>
          <w:szCs w:val="26"/>
        </w:rPr>
      </w:pPr>
      <w:r w:rsidRPr="6E1B75D1">
        <w:rPr>
          <w:rFonts w:ascii="Times New Roman" w:hAnsi="Times New Roman"/>
        </w:rPr>
        <w:t>§ 1º Entende-se como gratificação a ser incorporada à remuneração do servidor a parcela referente à representação e a gratificação de atividade pelo desempenho de função, quando se tratar de cargo em comissão ou função de direção, chefia e assessoramento dos Grupos: Direção e Assessoramento Superiores - DAS e Cargo de Direção - CD.</w:t>
      </w:r>
      <w:r w:rsidRPr="6E1B75D1">
        <w:rPr>
          <w:rFonts w:ascii="Times New Roman" w:hAnsi="Times New Roman"/>
          <w:sz w:val="26"/>
          <w:szCs w:val="26"/>
        </w:rPr>
        <w:t xml:space="preserve"> </w:t>
      </w:r>
    </w:p>
    <w:p w14:paraId="1A757251" w14:textId="7ED02043"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674D8EE" w14:textId="6974E7E6"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Posteriormente, com a entrada em vigor da Lei 9.527/1997, que alterou as Leis 8.112/1990 e 8.911/1994, para deixar de prever a incorporação dos quintos, as parcelas incorporadas foram transformadas em Vantagem Pessoal Nominalmente Identificada, por força do disposto no artigo 15:</w:t>
      </w:r>
    </w:p>
    <w:p w14:paraId="65D99468" w14:textId="52C902B7"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lastRenderedPageBreak/>
        <w:t xml:space="preserve"> </w:t>
      </w:r>
    </w:p>
    <w:p w14:paraId="577697E2" w14:textId="4CC50826"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Art. 15. Fica extinta a incorporação da retribuição pelo exercício de função de direção, chefia ou assessoramento, cargo de provimento em comissão ou de Natureza Especial a que se referem os arts. 3º e 10 da Lei nº 8.911, de 11 de julho de 1994.  </w:t>
      </w:r>
    </w:p>
    <w:p w14:paraId="123AE13B" w14:textId="4AFC0CA4"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1º </w:t>
      </w:r>
      <w:r w:rsidRPr="6E1B75D1">
        <w:rPr>
          <w:rFonts w:ascii="Times New Roman" w:hAnsi="Times New Roman"/>
          <w:b/>
          <w:bCs/>
        </w:rPr>
        <w:t>A importância paga em razão da incorporação a que se refere este artigo passa a constituir, a partir de 11 de novembro de 1997, vantagem pessoal nominalmente identificada</w:t>
      </w:r>
      <w:r w:rsidRPr="6E1B75D1">
        <w:rPr>
          <w:rFonts w:ascii="Times New Roman" w:hAnsi="Times New Roman"/>
        </w:rPr>
        <w:t xml:space="preserve">, sujeita exclusivamente à atualização decorrente da revisão geral da remuneração dos servidores públicos federais.  </w:t>
      </w:r>
    </w:p>
    <w:p w14:paraId="4791BB80" w14:textId="1C476184" w:rsidR="52433993" w:rsidRDefault="52433993" w:rsidP="6E1B75D1">
      <w:pPr>
        <w:spacing w:after="0" w:line="240" w:lineRule="auto"/>
        <w:ind w:left="1701"/>
        <w:jc w:val="both"/>
        <w:rPr>
          <w:rFonts w:ascii="Times New Roman" w:hAnsi="Times New Roman"/>
        </w:rPr>
      </w:pPr>
      <w:r w:rsidRPr="6E1B75D1">
        <w:rPr>
          <w:rFonts w:ascii="Times New Roman" w:hAnsi="Times New Roman"/>
        </w:rPr>
        <w:t>§ 2º É assegurado o direito à incorporação ou atualização de parcela ao servidor que, em 11 de novembro de 1997, tiver cumprido todos os requisitos legais para a concessão ou atualização a ela referente.</w:t>
      </w:r>
    </w:p>
    <w:p w14:paraId="4415DDF3" w14:textId="55BC54BB"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79A1436" w14:textId="6654C87A"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Portanto, com a vigência do artigo 62 da Lei 8.112/1990, regulado pela Lei 9.911/1994, estabeleceu-se que a incorporação de quintos seria calculada na proporção de um quinto por ano de exercício das referidas funções, até o limite de cinco quintos. Após, com a edição da Lei 9.527/1997, a possibilidade de incorporação desta parcela foi extinta e as vantagens já incorporadas foram transformadas em Vantagem Pessoal Nominalmente Identificada.</w:t>
      </w:r>
    </w:p>
    <w:p w14:paraId="272F3D2A" w14:textId="6B846EBD"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2B8C973" w14:textId="50E30A3E"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Ou seja, percebe-se que a incorporação dos quintos e sua transformação em VPNI ocorreram </w:t>
      </w:r>
      <w:r w:rsidRPr="6E1B75D1">
        <w:rPr>
          <w:rFonts w:ascii="Times New Roman" w:hAnsi="Times New Roman"/>
          <w:b/>
          <w:bCs/>
          <w:sz w:val="26"/>
          <w:szCs w:val="26"/>
        </w:rPr>
        <w:t>há mais de 20 anos</w:t>
      </w:r>
      <w:r w:rsidRPr="6E1B75D1">
        <w:rPr>
          <w:rFonts w:ascii="Times New Roman" w:hAnsi="Times New Roman"/>
          <w:sz w:val="26"/>
          <w:szCs w:val="26"/>
        </w:rPr>
        <w:t>. O entendimento firmado pelo Tribunal de Contas da União sobre ilicitude no pagamento cumulativo das parcelas justamente reside na suposta identificação entre a Gratificação de Atividade Externa, a GRG e a FC de executante de mandados, sob o argumento de que todas seriam de natureza geral e abstrata, concedidas a todos Oficiais de Justiça. Não se sabe de onde o TCU chegou a esse entendimento, pois a legislação, a regulamentação sobre o tema e julgados anteriores do mesmo TCU dizem o contrário.</w:t>
      </w:r>
    </w:p>
    <w:p w14:paraId="1EE57BB9" w14:textId="6C3BD7D7"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A62DDED" w14:textId="6F17A224"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 GRG e a subsequente função comissionada de executante de mandados (ambas funções de confiança) não eram devidas automaticamente aos oficiais de justiça, sendo necessária a designação formal (para apenas alguns), com encargos adicionais e diferenciações entre os tribunais.</w:t>
      </w:r>
    </w:p>
    <w:p w14:paraId="01827EAE" w14:textId="3EB7B6C3"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CD693A1" w14:textId="1F58536F"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Contrariando a afirmação do relator do Acórdão 2784/2016/TCU-Pleno, o mesmo </w:t>
      </w:r>
      <w:r w:rsidRPr="6E1B75D1">
        <w:rPr>
          <w:rFonts w:ascii="Times New Roman" w:hAnsi="Times New Roman"/>
          <w:b/>
          <w:bCs/>
          <w:sz w:val="26"/>
          <w:szCs w:val="26"/>
        </w:rPr>
        <w:t>TRIBUNAL DE CONTAS DA UNIÃO,</w:t>
      </w:r>
      <w:r w:rsidRPr="6E1B75D1">
        <w:rPr>
          <w:rFonts w:ascii="Times New Roman" w:hAnsi="Times New Roman"/>
          <w:sz w:val="26"/>
          <w:szCs w:val="26"/>
        </w:rPr>
        <w:t xml:space="preserve"> no </w:t>
      </w:r>
      <w:r w:rsidRPr="6E1B75D1">
        <w:rPr>
          <w:rFonts w:ascii="Times New Roman" w:hAnsi="Times New Roman"/>
          <w:b/>
          <w:bCs/>
          <w:sz w:val="26"/>
          <w:szCs w:val="26"/>
        </w:rPr>
        <w:t>Processo TC 005.333/2012-1, reconheceu que a Gratificação de Executante de Mandados não era devida a todos os Oficiais de Justiça</w:t>
      </w:r>
      <w:r w:rsidRPr="6E1B75D1">
        <w:rPr>
          <w:rFonts w:ascii="Times New Roman" w:hAnsi="Times New Roman"/>
          <w:sz w:val="26"/>
          <w:szCs w:val="26"/>
        </w:rPr>
        <w:t>, conforme o Acórdão n° 7758/2015, publicado em 22/09/2015, que reiterou o entendimento exarado no Acórdão n° 7097/2014, confirmando que, diante da existência de portaria de designação à função comissionada, é legal a incorporação de quintos/décimos:</w:t>
      </w:r>
    </w:p>
    <w:p w14:paraId="6B7B6935" w14:textId="3BC3D986"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9BCF00E" w14:textId="139AF0AE"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APOSENTADORIAS. PAGAMENTO DE PARCELAS DE QUINTOS DA FUNÇÃO DE EXECUTANTE DE MANDADOS, SEM PORTARIA DE DESIGNAÇÃO PARA A OCUPAÇÃO DA REFERIDA FUNÇÃO DE CONFIANÇA. ILEGALIDADE. PEDIDO DE REEXAME. ARGUMENTOS </w:t>
      </w:r>
      <w:r w:rsidRPr="6E1B75D1">
        <w:rPr>
          <w:rFonts w:ascii="Times New Roman" w:hAnsi="Times New Roman"/>
        </w:rPr>
        <w:lastRenderedPageBreak/>
        <w:t>INSUFICIENTES PARA A ALTERAÇÃO DO ACÓRDÃO RECORRIDO. CONHECIMENTO. NEGATIVA DE PROVIMENTO.</w:t>
      </w:r>
    </w:p>
    <w:p w14:paraId="742C0013" w14:textId="4EE93933" w:rsidR="52433993" w:rsidRDefault="52433993" w:rsidP="6E1B75D1">
      <w:pPr>
        <w:spacing w:after="0" w:line="240" w:lineRule="auto"/>
        <w:ind w:left="1701"/>
        <w:jc w:val="both"/>
        <w:rPr>
          <w:rFonts w:ascii="Times New Roman" w:hAnsi="Times New Roman"/>
        </w:rPr>
      </w:pPr>
      <w:r w:rsidRPr="6E1B75D1">
        <w:rPr>
          <w:rFonts w:ascii="Times New Roman" w:hAnsi="Times New Roman"/>
        </w:rPr>
        <w:t>VISTOS, relatados e discutidos estes autos que tratam de pedidos de reexame interpostos por Maria José Bezerra e Valdenice Alexandre da Silva contra o Acórdão 7.097/2014-TCU-2ª Câmara que considerou ilegais os respectivos atos de aposentadoria em razão da incorporação de quintos decorrentes da função de confiança de executante de mandatos sem as correspondentes portarias de designação para as ocupações das referidas funções;</w:t>
      </w:r>
    </w:p>
    <w:p w14:paraId="2668C0EC" w14:textId="6F2D5662" w:rsidR="52433993" w:rsidRDefault="52433993" w:rsidP="6E1B75D1">
      <w:pPr>
        <w:spacing w:after="0" w:line="240" w:lineRule="auto"/>
        <w:ind w:left="1701"/>
        <w:jc w:val="both"/>
        <w:rPr>
          <w:rFonts w:ascii="Times New Roman" w:hAnsi="Times New Roman"/>
        </w:rPr>
      </w:pPr>
      <w:r w:rsidRPr="6E1B75D1">
        <w:rPr>
          <w:rFonts w:ascii="Times New Roman" w:hAnsi="Times New Roman"/>
        </w:rPr>
        <w:t>ACORDAM os Ministros do Tribunal de Contas da União, reunidos em Sessão da 2ª Câmara, ante as razões expostas pelo Relator, e com fundamento no 48 da Lei 8.443/1992, em:</w:t>
      </w:r>
    </w:p>
    <w:p w14:paraId="63406842" w14:textId="1DFC35A3" w:rsidR="52433993" w:rsidRDefault="52433993" w:rsidP="6E1B75D1">
      <w:pPr>
        <w:spacing w:after="0" w:line="240" w:lineRule="auto"/>
        <w:ind w:left="1701"/>
        <w:jc w:val="both"/>
        <w:rPr>
          <w:rFonts w:ascii="Times New Roman" w:hAnsi="Times New Roman"/>
        </w:rPr>
      </w:pPr>
      <w:r w:rsidRPr="6E1B75D1">
        <w:rPr>
          <w:rFonts w:ascii="Times New Roman" w:hAnsi="Times New Roman"/>
        </w:rPr>
        <w:t>9.1. conhecer dos presentes recursos, para, no mérito, negar-lhes provimento, mantendo-se inalterado o acórdão recorrido;</w:t>
      </w:r>
    </w:p>
    <w:p w14:paraId="5A0B12C8" w14:textId="5FF9FB6F" w:rsidR="52433993" w:rsidRDefault="52433993" w:rsidP="6E1B75D1">
      <w:pPr>
        <w:spacing w:after="0" w:line="240" w:lineRule="auto"/>
        <w:ind w:left="1701"/>
        <w:jc w:val="both"/>
        <w:rPr>
          <w:rFonts w:ascii="Times New Roman" w:hAnsi="Times New Roman"/>
        </w:rPr>
      </w:pPr>
      <w:r w:rsidRPr="6E1B75D1">
        <w:rPr>
          <w:rFonts w:ascii="Times New Roman" w:hAnsi="Times New Roman"/>
        </w:rPr>
        <w:t>9.2. dar ciência desta deliberação às recorrentes e ao órgão interessado.</w:t>
      </w:r>
    </w:p>
    <w:p w14:paraId="2B3D79D2" w14:textId="11E8CB2C" w:rsidR="52433993" w:rsidRDefault="52433993" w:rsidP="6E1B75D1">
      <w:pPr>
        <w:spacing w:after="0" w:line="240" w:lineRule="auto"/>
        <w:ind w:left="1701"/>
        <w:jc w:val="both"/>
        <w:rPr>
          <w:rFonts w:ascii="Times New Roman" w:hAnsi="Times New Roman"/>
        </w:rPr>
      </w:pPr>
      <w:r w:rsidRPr="6E1B75D1">
        <w:rPr>
          <w:rFonts w:ascii="Times New Roman" w:hAnsi="Times New Roman"/>
        </w:rPr>
        <w:t>(...)</w:t>
      </w:r>
    </w:p>
    <w:p w14:paraId="17282FE4" w14:textId="025BD059" w:rsidR="52433993" w:rsidRDefault="52433993" w:rsidP="6E1B75D1">
      <w:pPr>
        <w:spacing w:after="0" w:line="240" w:lineRule="auto"/>
        <w:ind w:left="1701"/>
        <w:jc w:val="both"/>
        <w:rPr>
          <w:rFonts w:ascii="Times New Roman" w:hAnsi="Times New Roman"/>
        </w:rPr>
      </w:pPr>
      <w:r w:rsidRPr="6E1B75D1">
        <w:rPr>
          <w:rFonts w:ascii="Times New Roman" w:hAnsi="Times New Roman"/>
        </w:rPr>
        <w:t>4.5. As funções de confiança são vocacionadas para serem ocupadas em caráter transitório por pessoa de confiança da autoridade competente para preenchê-las, a qual também pode exonerar ad nutum os seus ocupantes.</w:t>
      </w:r>
    </w:p>
    <w:p w14:paraId="02295AFC" w14:textId="45239EE9" w:rsidR="52433993" w:rsidRDefault="52433993" w:rsidP="6E1B75D1">
      <w:pPr>
        <w:spacing w:after="0" w:line="240" w:lineRule="auto"/>
        <w:ind w:left="1701"/>
        <w:jc w:val="both"/>
        <w:rPr>
          <w:rFonts w:ascii="Times New Roman" w:hAnsi="Times New Roman"/>
        </w:rPr>
      </w:pPr>
      <w:r w:rsidRPr="6E1B75D1">
        <w:rPr>
          <w:rFonts w:ascii="Times New Roman" w:hAnsi="Times New Roman"/>
        </w:rPr>
        <w:t>4.6. É dizer: nas funções de confiança, em comparação com os cargos de provimento efetivo, existe um requisito adicional, um plus, para a sua ocupação: a fidúcia entre a autoridade competente para a nomeação e o seu ocupante.</w:t>
      </w:r>
    </w:p>
    <w:p w14:paraId="4F45F8B7" w14:textId="6AD94E8B"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4.7. </w:t>
      </w:r>
      <w:r w:rsidRPr="6E1B75D1">
        <w:rPr>
          <w:rFonts w:ascii="Times New Roman" w:hAnsi="Times New Roman"/>
          <w:b/>
          <w:bCs/>
        </w:rPr>
        <w:t>Assim, o argumento de que a função de confiança de “Execução de Mandados” é inerente ao cargo de provimento efetivo de “Analista Judiciário – Especialidade Execução de Mandados” não pode ser aceita.</w:t>
      </w:r>
    </w:p>
    <w:p w14:paraId="783CC67F" w14:textId="74DDEED1" w:rsidR="52433993" w:rsidRDefault="52433993" w:rsidP="6E1B75D1">
      <w:pPr>
        <w:spacing w:after="0" w:line="240" w:lineRule="auto"/>
        <w:ind w:left="1701"/>
        <w:jc w:val="both"/>
        <w:rPr>
          <w:rFonts w:ascii="Times New Roman" w:hAnsi="Times New Roman"/>
        </w:rPr>
      </w:pPr>
      <w:r w:rsidRPr="6E1B75D1">
        <w:rPr>
          <w:rFonts w:ascii="Times New Roman" w:hAnsi="Times New Roman"/>
        </w:rPr>
        <w:t>4.8. O entendimento supra é confirmado pela Portaria 553, de 27/11/2008, da Justiça Federal de Primeiro Grau, Seção Judiciária de Pernambuco (peça 43, p. 123), que assim dispôs:</w:t>
      </w:r>
    </w:p>
    <w:p w14:paraId="6024E45C" w14:textId="715DF56B" w:rsidR="52433993" w:rsidRDefault="52433993" w:rsidP="6E1B75D1">
      <w:pPr>
        <w:spacing w:after="0" w:line="240" w:lineRule="auto"/>
        <w:ind w:left="1701"/>
        <w:jc w:val="both"/>
        <w:rPr>
          <w:rFonts w:ascii="Times New Roman" w:hAnsi="Times New Roman"/>
        </w:rPr>
      </w:pPr>
      <w:r w:rsidRPr="6E1B75D1">
        <w:rPr>
          <w:rFonts w:ascii="Times New Roman" w:hAnsi="Times New Roman"/>
        </w:rPr>
        <w:t>DISPENSAR os servidores ocupantes dos cargos de Analista Judiciário da Área Judiciária com especialidade em execução de mandados, citados no anexo desta Portaria, das funções comissionadas de Executantes de Mandados (Código FC-05), das respectivas Varas, com efeito a partir de 1º de dezembro do ano em curso.</w:t>
      </w:r>
    </w:p>
    <w:p w14:paraId="52305AFC" w14:textId="230A61B7" w:rsidR="52433993" w:rsidRDefault="52433993" w:rsidP="6E1B75D1">
      <w:pPr>
        <w:spacing w:after="0" w:line="240" w:lineRule="auto"/>
        <w:ind w:left="1701"/>
        <w:jc w:val="both"/>
        <w:rPr>
          <w:rFonts w:ascii="Times New Roman" w:hAnsi="Times New Roman"/>
          <w:b/>
          <w:bCs/>
        </w:rPr>
      </w:pPr>
      <w:r w:rsidRPr="6E1B75D1">
        <w:rPr>
          <w:rFonts w:ascii="Times New Roman" w:hAnsi="Times New Roman"/>
        </w:rPr>
        <w:t xml:space="preserve">4.9. </w:t>
      </w:r>
      <w:r w:rsidRPr="6E1B75D1">
        <w:rPr>
          <w:rFonts w:ascii="Times New Roman" w:hAnsi="Times New Roman"/>
          <w:b/>
          <w:bCs/>
        </w:rPr>
        <w:t>De fato, se há Analistas Judiciários – Especialidade Execução de Mandados dispensados da função comissionada de Executantes de Mandados, é porque a referida função comissionada não é inerente ao aludido cargo efetivo.</w:t>
      </w:r>
    </w:p>
    <w:p w14:paraId="28D55D04" w14:textId="01353D0F" w:rsidR="52433993" w:rsidRDefault="52433993" w:rsidP="6E1B75D1">
      <w:pPr>
        <w:spacing w:after="0" w:line="240" w:lineRule="auto"/>
        <w:ind w:left="1701"/>
        <w:jc w:val="both"/>
        <w:rPr>
          <w:rFonts w:ascii="Times New Roman" w:hAnsi="Times New Roman"/>
          <w:b/>
          <w:bCs/>
        </w:rPr>
      </w:pPr>
      <w:r w:rsidRPr="6E1B75D1">
        <w:rPr>
          <w:rFonts w:ascii="Times New Roman" w:hAnsi="Times New Roman"/>
        </w:rPr>
        <w:t xml:space="preserve">4.10. </w:t>
      </w:r>
      <w:r w:rsidRPr="6E1B75D1">
        <w:rPr>
          <w:rFonts w:ascii="Times New Roman" w:hAnsi="Times New Roman"/>
          <w:b/>
          <w:bCs/>
        </w:rPr>
        <w:t>Assim, para a ocupação da função de confiança de “Execução de Mandados”, é indispensável a publicação da correspondente portaria de nomeação, o que não ocorreu no caso das recorrentes.</w:t>
      </w:r>
    </w:p>
    <w:p w14:paraId="052BFDCB" w14:textId="0302AAF0" w:rsidR="52433993" w:rsidRDefault="52433993" w:rsidP="6E1B75D1">
      <w:pPr>
        <w:spacing w:after="0" w:line="240" w:lineRule="auto"/>
        <w:ind w:left="1701"/>
        <w:jc w:val="both"/>
        <w:rPr>
          <w:rFonts w:ascii="Times New Roman" w:hAnsi="Times New Roman"/>
        </w:rPr>
      </w:pPr>
      <w:r w:rsidRPr="6E1B75D1">
        <w:rPr>
          <w:rFonts w:ascii="Times New Roman" w:hAnsi="Times New Roman"/>
        </w:rPr>
        <w:t>4.11. Nessa ordem de ideias, é de se negar provimento ao presente pedido de reexame. (...) (grifou-se)</w:t>
      </w:r>
    </w:p>
    <w:p w14:paraId="15BE6E32" w14:textId="6277F9EF" w:rsidR="52433993" w:rsidRDefault="52433993" w:rsidP="6E1B75D1">
      <w:pPr>
        <w:spacing w:after="0" w:line="240" w:lineRule="auto"/>
        <w:ind w:left="1701"/>
        <w:jc w:val="both"/>
        <w:rPr>
          <w:rFonts w:ascii="Times New Roman" w:hAnsi="Times New Roman"/>
        </w:rPr>
      </w:pPr>
      <w:r w:rsidRPr="6E1B75D1">
        <w:rPr>
          <w:rFonts w:ascii="Times New Roman" w:hAnsi="Times New Roman"/>
        </w:rPr>
        <w:t>(TC 005.333/2012-1. Relator Vital do Rêgo)</w:t>
      </w:r>
    </w:p>
    <w:p w14:paraId="711D5E31" w14:textId="4C39C3D3"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7D95822" w14:textId="3293D5B5"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Evidente o equívoco do TCU no Acórdão 2784/2016, que analisou superficialmente a questão, contrariando os pareceres de sua unidade técnica e do Ministério Público junto ao TCU, além de ir contra pronunciamento anterior da Corte de Contas.</w:t>
      </w:r>
    </w:p>
    <w:p w14:paraId="4C84024B" w14:textId="317FA69E"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EC7D1C3" w14:textId="6880C37A"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Diversamente do aduzido pela Corte de Contas, portanto, a retribuição discutida guardava, sim, o necessário elemento da fidúcia, que </w:t>
      </w:r>
      <w:r w:rsidRPr="6E1B75D1">
        <w:rPr>
          <w:rFonts w:ascii="Times New Roman" w:hAnsi="Times New Roman"/>
          <w:b/>
          <w:bCs/>
          <w:sz w:val="26"/>
          <w:szCs w:val="26"/>
        </w:rPr>
        <w:t>não lhe conferia o caráter geral e abstrato.</w:t>
      </w:r>
    </w:p>
    <w:p w14:paraId="6AC55932" w14:textId="6D79EBB8"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lastRenderedPageBreak/>
        <w:t xml:space="preserve"> </w:t>
      </w:r>
    </w:p>
    <w:p w14:paraId="1FFBAB25" w14:textId="11229F55"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 afirmação de que a “FC-5 era recebida por todos os oficiais” não se sustenta em qualquer período ou órgão analisado. Auxiliando nessa comprovação, cita-se (entre muitos atos) o acórdão e a certidão proferidos em 2001 no julgamento do processo 2000240101, que tramitou no Conselho da Justiça Federal. Nele, em.05/04/2001, certificou-se:</w:t>
      </w:r>
    </w:p>
    <w:p w14:paraId="35A32116" w14:textId="508FAE86"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7121297" w14:textId="33AE5648"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CONSULTA ACERCA DA POSSIBILIDADE DE NOMEACAO PARA 0 CARGO DE ANALISTA JUDICIARIO, AREA DE EXECUÇÃO DE MANDATOS, INDEPENDENTEMENTE DE DESIGNACAO PARA EXERCÍCIO DE FUNCAO COMISSIONADA </w:t>
      </w:r>
    </w:p>
    <w:p w14:paraId="240FF0F9" w14:textId="02B9F663"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68252576" w14:textId="23CF3112"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Certifico que o Conselho da Justiça Federal, ao apreciar o processo em epígrafe, em Sessão realizada nesta data, proferiu a seguinte decisão: </w:t>
      </w:r>
    </w:p>
    <w:p w14:paraId="49A23761" w14:textId="34D271EA"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2E0B3599" w14:textId="38CF4B58"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"O Conselho, por unanimidade, respondeu afirmativamente a consulta, nos termos do voto do relator." </w:t>
      </w:r>
    </w:p>
    <w:p w14:paraId="20BBBE56" w14:textId="244A89B6"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6AD37225" w14:textId="06429279"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Do voto do relator no referido processo </w:t>
      </w:r>
      <w:r w:rsidRPr="6E1B75D1">
        <w:rPr>
          <w:rFonts w:ascii="Times New Roman" w:hAnsi="Times New Roman"/>
          <w:b/>
          <w:bCs/>
          <w:u w:val="single"/>
        </w:rPr>
        <w:t>2000240101</w:t>
      </w:r>
      <w:r w:rsidRPr="6E1B75D1">
        <w:rPr>
          <w:rFonts w:ascii="Times New Roman" w:hAnsi="Times New Roman"/>
        </w:rPr>
        <w:t>, do</w:t>
      </w:r>
      <w:r w:rsidRPr="6E1B75D1">
        <w:rPr>
          <w:rFonts w:ascii="Times New Roman" w:hAnsi="Times New Roman"/>
          <w:b/>
          <w:bCs/>
        </w:rPr>
        <w:t xml:space="preserve"> </w:t>
      </w:r>
      <w:r w:rsidRPr="6E1B75D1">
        <w:rPr>
          <w:rFonts w:ascii="Times New Roman" w:hAnsi="Times New Roman"/>
          <w:b/>
          <w:bCs/>
          <w:u w:val="single"/>
        </w:rPr>
        <w:t>CJF</w:t>
      </w:r>
      <w:r w:rsidRPr="6E1B75D1">
        <w:rPr>
          <w:rFonts w:ascii="Times New Roman" w:hAnsi="Times New Roman"/>
        </w:rPr>
        <w:t xml:space="preserve">: </w:t>
      </w:r>
    </w:p>
    <w:p w14:paraId="17E8D3DC" w14:textId="7053C94D"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1AB8CD62" w14:textId="0F77F79C"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Inicialmente, importa mencionar que o cargo de Oficial de Justiça Avaliador foi transformado em Analista Judiciário, área judiciária, especialidade Execução de Mandados, conforme artigos 1° e 2°, da Lei n° 9.421, de 24 de dezembro de 1996, que dispõe: </w:t>
      </w:r>
    </w:p>
    <w:p w14:paraId="235C8312" w14:textId="413FD3ED"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5C7B3BB7" w14:textId="41FEFE89" w:rsidR="52433993" w:rsidRDefault="52433993" w:rsidP="6E1B75D1">
      <w:pPr>
        <w:spacing w:after="0" w:line="240" w:lineRule="auto"/>
        <w:ind w:left="2268"/>
        <w:jc w:val="both"/>
        <w:rPr>
          <w:rFonts w:ascii="Times New Roman" w:hAnsi="Times New Roman"/>
        </w:rPr>
      </w:pPr>
      <w:r w:rsidRPr="6E1B75D1">
        <w:rPr>
          <w:rFonts w:ascii="Times New Roman" w:hAnsi="Times New Roman"/>
        </w:rPr>
        <w:t xml:space="preserve">"Art. 1º Ficam criadas as carreiras de Auxiliar Judiciário, Técnico Judiciário e Analista Judiciário, nos Quadros de Pessoal do Poder Judiciário da União e do Distrito Federal e Territ6rios, na forma estabelecida nesta Lei. </w:t>
      </w:r>
    </w:p>
    <w:p w14:paraId="6D604D5B" w14:textId="58DEC0CE" w:rsidR="52433993" w:rsidRDefault="52433993" w:rsidP="6E1B75D1">
      <w:pPr>
        <w:spacing w:after="0" w:line="240" w:lineRule="auto"/>
        <w:ind w:left="2268"/>
        <w:jc w:val="both"/>
        <w:rPr>
          <w:rFonts w:ascii="Times New Roman" w:hAnsi="Times New Roman"/>
        </w:rPr>
      </w:pPr>
      <w:r w:rsidRPr="6E1B75D1">
        <w:rPr>
          <w:rFonts w:ascii="Times New Roman" w:hAnsi="Times New Roman"/>
        </w:rPr>
        <w:t xml:space="preserve">Art. 2° As carreiras de Auxiliar Judiciário, Técnico Judiciário e Analista Judiciário são constituídas dos cargos de provimento efetivo, da mesma denomina9Bo, estruturados em Classes e Padrões, nas diversas áreas de atividade, conforme Anexo I." </w:t>
      </w:r>
    </w:p>
    <w:p w14:paraId="4F3C8D68" w14:textId="7F91859E"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2880DB54" w14:textId="42F797FE"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Por sua vez, cabe analisar o Ato Regulamentar n° 641, de 31 de 1987, do Conselho da Justiça Federal, referido pelo consulente, que em seu artigo 3°, inciso V, proclama: </w:t>
      </w:r>
    </w:p>
    <w:p w14:paraId="6A24B768" w14:textId="0F368DAD"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318326A8" w14:textId="7057817A" w:rsidR="52433993" w:rsidRDefault="52433993" w:rsidP="6E1B75D1">
      <w:pPr>
        <w:spacing w:after="0" w:line="240" w:lineRule="auto"/>
        <w:ind w:left="2268"/>
        <w:jc w:val="both"/>
        <w:rPr>
          <w:rFonts w:ascii="Times New Roman" w:hAnsi="Times New Roman"/>
        </w:rPr>
      </w:pPr>
      <w:r w:rsidRPr="6E1B75D1">
        <w:rPr>
          <w:rFonts w:ascii="Times New Roman" w:hAnsi="Times New Roman"/>
        </w:rPr>
        <w:t xml:space="preserve">"Art. 3° (...) V - As funções de Executantes de Mandados são exclusivas dos   Oficiais de Justiça   Avaliadores no efetivo exercício das atribuições inerentes e próprias do cargo;" </w:t>
      </w:r>
    </w:p>
    <w:p w14:paraId="488FC663" w14:textId="006625D8"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2A07A440" w14:textId="5A8E80C1"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Verifica-se, pais, que a norma em questão não foi revogada pelo preceito do artigo 37, inciso V, da Constituição Federal, que destina as funções de confiança e os cargos em comissão as atribuições de direção, chefia e assessoramento. </w:t>
      </w:r>
    </w:p>
    <w:p w14:paraId="76765971" w14:textId="0A6DFAB4"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3ABE1809" w14:textId="597D5C1D"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Tal regramento constitucional prevê justamente a desvinculação entre o exercício do cargo e a designação da função de confiança, como defendido pelo consulente, sem estabelecer qualquer impedimento de criação de funções específicas. </w:t>
      </w:r>
    </w:p>
    <w:p w14:paraId="3FE2FBF4" w14:textId="2963B2DC"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21D821D4" w14:textId="0E18A152" w:rsidR="52433993" w:rsidRDefault="52433993" w:rsidP="6E1B75D1">
      <w:pPr>
        <w:spacing w:after="0" w:line="240" w:lineRule="auto"/>
        <w:ind w:left="1701"/>
        <w:jc w:val="both"/>
        <w:rPr>
          <w:rFonts w:ascii="Times New Roman" w:hAnsi="Times New Roman"/>
        </w:rPr>
      </w:pPr>
      <w:r w:rsidRPr="6E1B75D1">
        <w:rPr>
          <w:rFonts w:ascii="Times New Roman" w:hAnsi="Times New Roman"/>
        </w:rPr>
        <w:lastRenderedPageBreak/>
        <w:t xml:space="preserve">Aliás o Ato Regulamentar n° 641/87, veio apenas determinar a finalidade das funções que criava, no caso de Analista Judiciário, especialidade Executante de Mandados, não exigindo para a nomeação do cargo a atribuição de função. </w:t>
      </w:r>
    </w:p>
    <w:p w14:paraId="0156A851" w14:textId="4DEDACDE"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4407F4DC" w14:textId="2D6975E5"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Ademais, é sabido que tanto as funções de confiança, quanto os cargos em comissão têm natureza provisória e o servidor nela investido, pode ser livremente nomeado e exonerado, de acordo com a discricionariedade da Administração Pública. </w:t>
      </w:r>
    </w:p>
    <w:p w14:paraId="1DE04A0E" w14:textId="76D9F277"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F598F17" w14:textId="152FFB2E" w:rsidR="52433993" w:rsidRDefault="52433993" w:rsidP="6E1B75D1">
      <w:pPr>
        <w:spacing w:after="0" w:line="240" w:lineRule="auto"/>
        <w:ind w:firstLine="1701"/>
        <w:jc w:val="both"/>
        <w:rPr>
          <w:rFonts w:ascii="Times New Roman" w:hAnsi="Times New Roman"/>
          <w:sz w:val="26"/>
          <w:szCs w:val="26"/>
        </w:rPr>
      </w:pPr>
      <w:r w:rsidRPr="23C96B68">
        <w:rPr>
          <w:rFonts w:ascii="Times New Roman" w:hAnsi="Times New Roman"/>
          <w:sz w:val="26"/>
          <w:szCs w:val="26"/>
        </w:rPr>
        <w:t xml:space="preserve">A título exemplificativo, no âmbito da </w:t>
      </w:r>
      <w:r w:rsidRPr="23C96B68">
        <w:rPr>
          <w:rFonts w:ascii="Times New Roman" w:hAnsi="Times New Roman"/>
          <w:b/>
          <w:bCs/>
          <w:sz w:val="26"/>
          <w:szCs w:val="26"/>
        </w:rPr>
        <w:t>Justiça Federal,</w:t>
      </w:r>
      <w:r w:rsidRPr="23C96B68">
        <w:rPr>
          <w:rFonts w:ascii="Times New Roman" w:hAnsi="Times New Roman"/>
          <w:sz w:val="26"/>
          <w:szCs w:val="26"/>
        </w:rPr>
        <w:t xml:space="preserve"> as funções de Executante de Mandados foram criadas pelo </w:t>
      </w:r>
      <w:r w:rsidRPr="23C96B68">
        <w:rPr>
          <w:rFonts w:ascii="Times New Roman" w:hAnsi="Times New Roman"/>
          <w:b/>
          <w:bCs/>
          <w:sz w:val="26"/>
          <w:szCs w:val="26"/>
        </w:rPr>
        <w:t>Ato Regulamentar CJF nº 641</w:t>
      </w:r>
      <w:r w:rsidRPr="23C96B68">
        <w:rPr>
          <w:rFonts w:ascii="Times New Roman" w:hAnsi="Times New Roman"/>
          <w:sz w:val="26"/>
          <w:szCs w:val="26"/>
        </w:rPr>
        <w:t>, de 1987 (</w:t>
      </w:r>
      <w:r w:rsidRPr="23C96B68">
        <w:rPr>
          <w:rFonts w:ascii="Times New Roman" w:hAnsi="Times New Roman"/>
          <w:sz w:val="26"/>
          <w:szCs w:val="26"/>
          <w:highlight w:val="green"/>
        </w:rPr>
        <w:t>anexado</w:t>
      </w:r>
      <w:r w:rsidRPr="23C96B68">
        <w:rPr>
          <w:rFonts w:ascii="Times New Roman" w:hAnsi="Times New Roman"/>
          <w:sz w:val="26"/>
          <w:szCs w:val="26"/>
        </w:rPr>
        <w:t>), que eram retribuídos na forma de Gratificação de Representação de Gabinete (com natureza jurídica de função de confiança). Note-se que, conforme dispõe o ato, as designações para a função de Executante de Mandados não aconteciam de forma automática, mas dependiam de ato do Diretor do Foro da respectiva Seção Judiciária, após a indicação do Juiz Federal</w:t>
      </w:r>
      <w:r w:rsidRPr="23C96B68">
        <w:rPr>
          <w:rStyle w:val="Refdenotaderodap"/>
          <w:rFonts w:ascii="Times New Roman" w:hAnsi="Times New Roman"/>
          <w:sz w:val="26"/>
          <w:szCs w:val="26"/>
        </w:rPr>
        <w:footnoteReference w:id="4"/>
      </w:r>
      <w:r w:rsidRPr="23C96B68">
        <w:rPr>
          <w:rFonts w:ascii="Times New Roman" w:hAnsi="Times New Roman"/>
          <w:sz w:val="26"/>
          <w:szCs w:val="26"/>
        </w:rPr>
        <w:t>.</w:t>
      </w:r>
    </w:p>
    <w:p w14:paraId="6E2D6881" w14:textId="675F25FB"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655C987" w14:textId="3E2126B0"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Ao contrário do que afirma o Acórdão 2784/2016/TCU-Plenário, apenas alguns oficiais de justiça eram designados para a função de Executante de Mandados. Além disso, esta parcela não se dirigia ao exercício das atribuições efetivas do cargo, mas estabelecia encargos adicionais. A função de confiança Executante de Mandados apresentava os seguintes requisitos de validade:</w:t>
      </w:r>
    </w:p>
    <w:p w14:paraId="0A9A2FC9" w14:textId="2225CA97"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FFDEAD6" w14:textId="6D101E93" w:rsidR="52433993" w:rsidRDefault="52433993" w:rsidP="6E1B75D1">
      <w:pPr>
        <w:pStyle w:val="PargrafodaLista"/>
        <w:numPr>
          <w:ilvl w:val="2"/>
          <w:numId w:val="5"/>
        </w:numPr>
        <w:spacing w:after="0" w:line="240" w:lineRule="auto"/>
        <w:jc w:val="both"/>
        <w:rPr>
          <w:rFonts w:ascii="Symbol" w:eastAsia="Symbol" w:hAnsi="Symbol" w:cs="Symbol"/>
          <w:sz w:val="26"/>
          <w:szCs w:val="26"/>
        </w:rPr>
      </w:pPr>
      <w:r w:rsidRPr="6E1B75D1">
        <w:rPr>
          <w:rFonts w:ascii="Times New Roman" w:hAnsi="Times New Roman"/>
          <w:sz w:val="26"/>
          <w:szCs w:val="26"/>
        </w:rPr>
        <w:t>Função estabelecida mediante normas reguladoras específicas, denominada, quantificada e destinada legalmente às Secretarias Federais no próprio Ato que as criava (ver Anexo I do Ato 641/87 e Anexos das Resoluções 18/91, 08/97, 10/97, 05/99, do TRF1), guardando proporcionalidade com a necessidade que visavam cumprir, não sendo, portanto, criada de forma   indiscriminada (art.   5º   da   Lei Complementar nº 10/71). Era o interesse da administração dos Tribunais Federais em assegurar eficiência e eficácia administrativas que exigia a criação de determinado quantitativo de funções de confiança, obedecendo-se aos planos de orçamentos anuais que foram previamente aprovados;</w:t>
      </w:r>
    </w:p>
    <w:p w14:paraId="7149578D" w14:textId="1F8197A2"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7CA120A" w14:textId="53045C07" w:rsidR="52433993" w:rsidRDefault="52433993" w:rsidP="6E1B75D1">
      <w:pPr>
        <w:pStyle w:val="PargrafodaLista"/>
        <w:numPr>
          <w:ilvl w:val="2"/>
          <w:numId w:val="4"/>
        </w:numPr>
        <w:spacing w:after="0" w:line="240" w:lineRule="auto"/>
        <w:jc w:val="both"/>
        <w:rPr>
          <w:rFonts w:ascii="Symbol" w:eastAsia="Symbol" w:hAnsi="Symbol" w:cs="Symbol"/>
          <w:sz w:val="26"/>
          <w:szCs w:val="26"/>
        </w:rPr>
      </w:pPr>
      <w:r w:rsidRPr="6E1B75D1">
        <w:rPr>
          <w:rFonts w:ascii="Times New Roman" w:hAnsi="Times New Roman"/>
          <w:sz w:val="26"/>
          <w:szCs w:val="26"/>
        </w:rPr>
        <w:t xml:space="preserve">Função com finalidade: era um acréscimo de atividades de caráter administrativo correlatas ao cargo de Oficial de Justiça Avaliador. Correspondeu, inicialmente, a uma espécie do gênero </w:t>
      </w:r>
      <w:r w:rsidRPr="6E1B75D1">
        <w:rPr>
          <w:rFonts w:ascii="Times New Roman" w:hAnsi="Times New Roman"/>
          <w:sz w:val="26"/>
          <w:szCs w:val="26"/>
        </w:rPr>
        <w:lastRenderedPageBreak/>
        <w:t>Funções de Representação de Gabinete (ver Anexo I do Ato 641/87 e art. 5º da Resolução n° 18/91, do TRF1), também denominadas Funções de Encargos de Gabinete (ver Resolução 10/89, do CJF). Posteriormente, com o advento da Lei 8.911/94 (que trouxe eficácia ao art. 62, da Lei 8.112/90 e definiu as funções de direção, chefia e assessoramento), foi equiparada, pela Resolução 128/94, do CJF, às funções de direção, chefia e assessoramento constantes no Anexo da Lei 8.911/94, no tocante à remuneração das funções de Representação de Gabinete e sua incorporação. Por fim, com a Lei 9.421/96, a função de Executante de Mandados (assim como as demais funções de confiança) passou a integrar o Quadro das Funções Comissionadas do Poder Judiciário da União (como Função Comissionada-FC-05), que compreendiam atividades de direção, chefia e assessoramento (ver artigo 9º da Lei 9.421/96);</w:t>
      </w:r>
    </w:p>
    <w:p w14:paraId="152FB4D9" w14:textId="24383B6B"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7B4AF91" w14:textId="777EE479" w:rsidR="52433993" w:rsidRDefault="52433993" w:rsidP="6E1B75D1">
      <w:pPr>
        <w:pStyle w:val="PargrafodaLista"/>
        <w:numPr>
          <w:ilvl w:val="2"/>
          <w:numId w:val="3"/>
        </w:numPr>
        <w:spacing w:after="0" w:line="240" w:lineRule="auto"/>
        <w:jc w:val="both"/>
        <w:rPr>
          <w:rFonts w:ascii="Symbol" w:eastAsia="Symbol" w:hAnsi="Symbol" w:cs="Symbol"/>
          <w:sz w:val="26"/>
          <w:szCs w:val="26"/>
        </w:rPr>
      </w:pPr>
      <w:r w:rsidRPr="6E1B75D1">
        <w:rPr>
          <w:rFonts w:ascii="Times New Roman" w:hAnsi="Times New Roman"/>
          <w:sz w:val="26"/>
          <w:szCs w:val="26"/>
        </w:rPr>
        <w:t>Função exclusiva dos Oficiais de Justiça Avaliadores no efetivo exercício das atribuições inerentes e próprias do cargo (inc. V, art.3º, do Ato 641/87). Isso significa dizer que: só poderia exercer a função de Executante de Mandados o servidor ocupante do cargo de Oficial de Justiça Avaliador (ver o requisito exigido nas Resoluções números 18/91, 18/92, 08/97, 10/97, 05/99, do TRF1). Nesse sentido, o Oficial de Justiça Avaliador designado para o exercício da função de Executante de Mandados deveria cumprir as atribuições de seu cargo (função típica) e deveria também executaras atividades correlatas, acrescidas ao cargo (função atípica);</w:t>
      </w:r>
    </w:p>
    <w:p w14:paraId="5AEB0BBE" w14:textId="6884AE62"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C550C6F" w14:textId="0258310E" w:rsidR="52433993" w:rsidRDefault="52433993" w:rsidP="6E1B75D1">
      <w:pPr>
        <w:pStyle w:val="PargrafodaLista"/>
        <w:numPr>
          <w:ilvl w:val="2"/>
          <w:numId w:val="2"/>
        </w:numPr>
        <w:spacing w:after="0" w:line="240" w:lineRule="auto"/>
        <w:jc w:val="both"/>
        <w:rPr>
          <w:rFonts w:ascii="Symbol" w:eastAsia="Symbol" w:hAnsi="Symbol" w:cs="Symbol"/>
          <w:sz w:val="26"/>
          <w:szCs w:val="26"/>
        </w:rPr>
      </w:pPr>
      <w:r w:rsidRPr="6E1B75D1">
        <w:rPr>
          <w:rFonts w:ascii="Times New Roman" w:hAnsi="Times New Roman"/>
          <w:sz w:val="26"/>
          <w:szCs w:val="26"/>
        </w:rPr>
        <w:t>Função de livre designação e exoneração, não havendo direito subjetivo do Oficial de Justiça Avaliador à função comissionada. Para exercer a função de Executante de Mandados, o Oficia de Justiça Avaliador precisava ser designado, pelo Juiz-Diretor do Foro da respectiva Seção Judiciária, a exercer a função, após indicação do Juiz Federal a que estivesse subordinado (art.3º, do Ato 641/87, do CJF). O Juiz Federal só indicava o Oficial de Justiça Avaliador ao exercício da função após a criação de um vínculo de confiança. A indicação, a designação e a exoneração da função eram atos discricionários do Juiz Federal Titular da Vara e do Juiz-Diretor do Foro e não precisavam de motivação</w:t>
      </w:r>
    </w:p>
    <w:p w14:paraId="07B74008" w14:textId="677B95F8"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4493457" w14:textId="3A0FD0A8" w:rsidR="52433993" w:rsidRDefault="52433993" w:rsidP="6E1B75D1">
      <w:pPr>
        <w:pStyle w:val="PargrafodaLista"/>
        <w:numPr>
          <w:ilvl w:val="2"/>
          <w:numId w:val="1"/>
        </w:numPr>
        <w:spacing w:after="0" w:line="240" w:lineRule="auto"/>
        <w:jc w:val="both"/>
        <w:rPr>
          <w:rFonts w:ascii="Symbol" w:eastAsia="Symbol" w:hAnsi="Symbol" w:cs="Symbol"/>
          <w:sz w:val="26"/>
          <w:szCs w:val="26"/>
        </w:rPr>
      </w:pPr>
      <w:r w:rsidRPr="6E1B75D1">
        <w:rPr>
          <w:rFonts w:ascii="Times New Roman" w:hAnsi="Times New Roman"/>
          <w:sz w:val="26"/>
          <w:szCs w:val="26"/>
        </w:rPr>
        <w:t xml:space="preserve">Função que abrangia encargos estabelecidos no Ato 288/74, do CJF, e exigidos no art. 147 da Lei 1.711/52 (Estatuto dos Funcionários Públicos Civis da União). As atividades da função </w:t>
      </w:r>
      <w:r w:rsidRPr="6E1B75D1">
        <w:rPr>
          <w:rFonts w:ascii="Times New Roman" w:hAnsi="Times New Roman"/>
          <w:sz w:val="26"/>
          <w:szCs w:val="26"/>
        </w:rPr>
        <w:lastRenderedPageBreak/>
        <w:t>de Executante de Mandados não foram especificadas no Ato 641/87 e nem foram detalhadas nas Resoluções de números 18/91, 18/92, 08/97, 10/97, 05/99, do TRF1.  Eram os Juízes Titulares das Varas que determinavam as atividades correlatas acrescidas ao cargo de Oficial de Justiça. Com a implantação das Centrais de Mandados, foram as portarias expedidas pelos Juízes-Diretores dos Foros que especificaram muitas atividades da função. A alusão de que a  atividade  da  função de Executante de Mandados era “executar atividades inerentes e próprias do cargo de Oficial de Justiça Avaliador” está incompleta e não exprime a realidade dos fatos, vez que os Oficiais de Justiça Avaliadores designados a exercer a função de Executante de Mandados cumpriam as atribuições do cargo, executavam as atividades da função, estavam submetidos a  regime  integral  de  dedicação  ao  serviço (ver art.19, §1º, da Lei 8.112/90)  e eram convocados  a  trabalhar  nos  plantões  judiciários (plantões diários,  semanais  e  durante  o  recesso  judiciário)da Justiça  Federal. Entretanto, o Manual de Atribuições do TRF1, de 2004 (em   anexo), normatizou   a   matéria, apresentando e comprovando nas páginas 20 e 21 as atribuições e requisitos da função de Executante de Mandados.</w:t>
      </w:r>
    </w:p>
    <w:p w14:paraId="00CE5503" w14:textId="2D2BD8EF"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7102C2A" w14:textId="547BEBAE"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Conclui-se, dessa forma, que a função de Executante de Mandados sempre denotou natureza jurídica de função de confiança, foi equiparada à função de direção, chefia e assessoramento pela Resolução 128/94, do CJF, e a partir da Lei 9.421/96 ficou integrada ao Quadro de Pessoal das Funções Comissionadas do Poder Judiciário, compreendendo funções de direção, chefia e assessoramento.</w:t>
      </w:r>
    </w:p>
    <w:p w14:paraId="311BDAC5" w14:textId="47CEEB03"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A1BAD9F" w14:textId="4DA01852" w:rsidR="52433993" w:rsidRDefault="52433993" w:rsidP="6E1B75D1">
      <w:pPr>
        <w:spacing w:after="0" w:line="240" w:lineRule="auto"/>
        <w:ind w:firstLine="1701"/>
        <w:jc w:val="both"/>
        <w:rPr>
          <w:rFonts w:ascii="Times New Roman" w:hAnsi="Times New Roman"/>
          <w:sz w:val="26"/>
          <w:szCs w:val="26"/>
        </w:rPr>
      </w:pPr>
      <w:r w:rsidRPr="23C96B68">
        <w:rPr>
          <w:rFonts w:ascii="Times New Roman" w:hAnsi="Times New Roman"/>
          <w:sz w:val="26"/>
          <w:szCs w:val="26"/>
        </w:rPr>
        <w:t>Cabe observar que, por força da Lei 8.868/1994, a Gratificação de Representação de Gabinete e as Funções Comissionadas foram substituídas pela Função Comissionada (FC-05), conforme dispõe o artigo 11</w:t>
      </w:r>
      <w:r w:rsidRPr="23C96B68">
        <w:rPr>
          <w:rStyle w:val="Refdenotaderodap"/>
          <w:rFonts w:ascii="Times New Roman" w:hAnsi="Times New Roman"/>
          <w:sz w:val="26"/>
          <w:szCs w:val="26"/>
        </w:rPr>
        <w:footnoteReference w:id="5"/>
      </w:r>
      <w:r w:rsidRPr="23C96B68">
        <w:rPr>
          <w:rFonts w:ascii="Times New Roman" w:hAnsi="Times New Roman"/>
          <w:sz w:val="26"/>
          <w:szCs w:val="26"/>
        </w:rPr>
        <w:t>.</w:t>
      </w:r>
    </w:p>
    <w:p w14:paraId="5C2F73B0" w14:textId="4EA40418"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43BD006" w14:textId="5D0E894D"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Com efeito, nem as Gratificações de Representação de Gabinete, nem as Funções Comissionadas compunham automática e irrestritamente a remuneração dos cargos efetivos de Oficial de Justiça, pelo contrário, dependiam de designação própria para ensejo à incorporação das parcelas. A incorporação da parcela somente ocorreria quando cumpridos os requisitos legais, previstos no então </w:t>
      </w:r>
      <w:r w:rsidRPr="6E1B75D1">
        <w:rPr>
          <w:rFonts w:ascii="Times New Roman" w:hAnsi="Times New Roman"/>
          <w:sz w:val="26"/>
          <w:szCs w:val="26"/>
        </w:rPr>
        <w:lastRenderedPageBreak/>
        <w:t>vigente artigo 62 da Lei 8.112/1990, na Lei 8.911/1994 e na Lei 9.421/1996, sendo que esta última estabelecia:</w:t>
      </w:r>
    </w:p>
    <w:p w14:paraId="47FFCD40" w14:textId="749B7CDE"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0978E7A" w14:textId="33CFB4A7"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Art. 15. Aos servidores das carreiras judiciárias, ocupantes de Função Comissionada, </w:t>
      </w:r>
      <w:r w:rsidRPr="6E1B75D1">
        <w:rPr>
          <w:rFonts w:ascii="Times New Roman" w:hAnsi="Times New Roman"/>
          <w:b/>
          <w:bCs/>
        </w:rPr>
        <w:t>aplica-se a legislação geral de incorporação de parcela mensal da remuneração de cargo em comissão ou função de confiança</w:t>
      </w:r>
      <w:r w:rsidRPr="6E1B75D1">
        <w:rPr>
          <w:rFonts w:ascii="Times New Roman" w:hAnsi="Times New Roman"/>
        </w:rPr>
        <w:t xml:space="preserve">. </w:t>
      </w:r>
    </w:p>
    <w:p w14:paraId="18577561" w14:textId="7A3B1B2D" w:rsidR="52433993" w:rsidRDefault="52433993" w:rsidP="6E1B75D1">
      <w:pPr>
        <w:spacing w:after="0" w:line="240" w:lineRule="auto"/>
        <w:ind w:left="1701"/>
        <w:jc w:val="both"/>
        <w:rPr>
          <w:rFonts w:ascii="Times New Roman" w:hAnsi="Times New Roman"/>
        </w:rPr>
      </w:pPr>
      <w:r w:rsidRPr="6E1B75D1">
        <w:rPr>
          <w:rFonts w:ascii="Times New Roman" w:hAnsi="Times New Roman"/>
        </w:rPr>
        <w:t xml:space="preserve"> </w:t>
      </w:r>
    </w:p>
    <w:p w14:paraId="497B9A30" w14:textId="07587CB5" w:rsidR="52433993" w:rsidRDefault="52433993" w:rsidP="6E1B75D1">
      <w:pPr>
        <w:spacing w:after="0" w:line="240" w:lineRule="auto"/>
        <w:ind w:left="1701"/>
        <w:jc w:val="both"/>
        <w:rPr>
          <w:rFonts w:ascii="Times New Roman" w:hAnsi="Times New Roman"/>
        </w:rPr>
      </w:pPr>
      <w:r w:rsidRPr="6E1B75D1">
        <w:rPr>
          <w:rFonts w:ascii="Times New Roman" w:hAnsi="Times New Roman"/>
        </w:rPr>
        <w:t>§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 (grifou-se)</w:t>
      </w:r>
    </w:p>
    <w:p w14:paraId="5E474F40" w14:textId="5C2E3BA8"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17E4F85" w14:textId="0AC35159"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Logo, é equivocada a conclusão a que chegou o Tribunal de Contas da União no Acórdão 2784, de 2016, no sentido de que tanto a GRG quanto a FC-5, das quais se originaram as parcelas incorporadas pelos Oficiais, não possuíam natureza de função, por serem pagas a todos os ocupantes do cargo efetivo de Oficial de Justiça Avaliador Federal, e de que a designação não dependia da escolha da autoridade inerente aos ocupantes de função comissionada.</w:t>
      </w:r>
    </w:p>
    <w:p w14:paraId="593301A0" w14:textId="38E20695"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FE60FC6" w14:textId="76A8539C"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Assim, é possível demonstrar que, em realidade, a função desempenhada pelos substituídos se enquadrava na hipótese legal, tendo eles preenchido os requisitos temporais necessários à incorporação (fato não controvertido), de modo que é devida a incorporação das parcelas. Veja-se que esta incorporação foi resultado de atos praticados </w:t>
      </w:r>
      <w:r w:rsidRPr="6E1B75D1">
        <w:rPr>
          <w:rFonts w:ascii="Times New Roman" w:hAnsi="Times New Roman"/>
          <w:b/>
          <w:bCs/>
          <w:sz w:val="26"/>
          <w:szCs w:val="26"/>
        </w:rPr>
        <w:t>há mais 20 anos</w:t>
      </w:r>
      <w:r w:rsidRPr="6E1B75D1">
        <w:rPr>
          <w:rFonts w:ascii="Times New Roman" w:hAnsi="Times New Roman"/>
          <w:sz w:val="26"/>
          <w:szCs w:val="26"/>
        </w:rPr>
        <w:t>, estando incorporada ao patrimônio jurídico dos servidores, com decadência para a Administração rever tal ato.</w:t>
      </w:r>
    </w:p>
    <w:p w14:paraId="60BE96D0" w14:textId="60E0FD1A" w:rsidR="52433993" w:rsidRDefault="52433993"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30EB9BD" w14:textId="3458B224" w:rsidR="52433993" w:rsidRDefault="52433993" w:rsidP="6E1B75D1">
      <w:pPr>
        <w:spacing w:after="0" w:line="240" w:lineRule="auto"/>
        <w:ind w:firstLine="1701"/>
        <w:jc w:val="both"/>
        <w:rPr>
          <w:rFonts w:ascii="Times New Roman" w:hAnsi="Times New Roman"/>
          <w:sz w:val="26"/>
          <w:szCs w:val="26"/>
        </w:rPr>
      </w:pPr>
      <w:r w:rsidRPr="23C96B68">
        <w:rPr>
          <w:rFonts w:ascii="Times New Roman" w:hAnsi="Times New Roman"/>
          <w:sz w:val="26"/>
          <w:szCs w:val="26"/>
        </w:rPr>
        <w:t>Sendo devida a incorporação, é inegável que a determinação do corte (ou compensação retroativa) da VPNI viola o disposto no artigo 3º da Lei 8.911/1994</w:t>
      </w:r>
      <w:r w:rsidRPr="23C96B68">
        <w:rPr>
          <w:rStyle w:val="Refdenotaderodap"/>
          <w:rFonts w:ascii="Times New Roman" w:hAnsi="Times New Roman"/>
          <w:sz w:val="26"/>
          <w:szCs w:val="26"/>
        </w:rPr>
        <w:footnoteReference w:id="6"/>
      </w:r>
      <w:r w:rsidRPr="23C96B68">
        <w:rPr>
          <w:rFonts w:ascii="Times New Roman" w:hAnsi="Times New Roman"/>
          <w:sz w:val="26"/>
          <w:szCs w:val="26"/>
        </w:rPr>
        <w:t>, o disposto no artigo 62, § 2º, da Lei 8.112/1990, na redação vigente até 1997</w:t>
      </w:r>
      <w:r w:rsidRPr="23C96B68">
        <w:rPr>
          <w:rStyle w:val="Refdenotaderodap"/>
          <w:rFonts w:ascii="Times New Roman" w:hAnsi="Times New Roman"/>
          <w:sz w:val="26"/>
          <w:szCs w:val="26"/>
        </w:rPr>
        <w:footnoteReference w:id="7"/>
      </w:r>
      <w:r w:rsidRPr="23C96B68">
        <w:rPr>
          <w:rFonts w:ascii="Times New Roman" w:hAnsi="Times New Roman"/>
          <w:sz w:val="26"/>
          <w:szCs w:val="26"/>
        </w:rPr>
        <w:t>; e o disposto no art. 15 da Lei 9.421/1996</w:t>
      </w:r>
      <w:r w:rsidRPr="23C96B68">
        <w:rPr>
          <w:rStyle w:val="Refdenotaderodap"/>
          <w:rFonts w:ascii="Times New Roman" w:hAnsi="Times New Roman"/>
          <w:sz w:val="26"/>
          <w:szCs w:val="26"/>
        </w:rPr>
        <w:footnoteReference w:id="8"/>
      </w:r>
      <w:r w:rsidRPr="23C96B68">
        <w:rPr>
          <w:rFonts w:ascii="Times New Roman" w:hAnsi="Times New Roman"/>
          <w:sz w:val="26"/>
          <w:szCs w:val="26"/>
        </w:rPr>
        <w:t xml:space="preserve">, disposições legais plenamente </w:t>
      </w:r>
      <w:r w:rsidRPr="23C96B68">
        <w:rPr>
          <w:rFonts w:ascii="Times New Roman" w:hAnsi="Times New Roman"/>
          <w:sz w:val="26"/>
          <w:szCs w:val="26"/>
        </w:rPr>
        <w:lastRenderedPageBreak/>
        <w:t>válidas, que embasaram a concessão dos quintos aos servidores. Viola, por conseguinte, o princípio da legalidade, inserto no art. 5º, II, e 37, caput, da Constituição Federal</w:t>
      </w:r>
      <w:r w:rsidRPr="23C96B68">
        <w:rPr>
          <w:rStyle w:val="Refdenotaderodap"/>
          <w:rFonts w:ascii="Times New Roman" w:hAnsi="Times New Roman"/>
          <w:sz w:val="26"/>
          <w:szCs w:val="26"/>
        </w:rPr>
        <w:footnoteReference w:id="9"/>
      </w:r>
      <w:r w:rsidRPr="23C96B68">
        <w:rPr>
          <w:rFonts w:ascii="Times New Roman" w:hAnsi="Times New Roman"/>
          <w:sz w:val="26"/>
          <w:szCs w:val="26"/>
        </w:rPr>
        <w:t>, devendo ser garantido o pagamento cumulado de ambas as parcelas (GAE e VPNI).</w:t>
      </w:r>
    </w:p>
    <w:p w14:paraId="01E8CDA9" w14:textId="2DE00874" w:rsidR="6E1B75D1" w:rsidRDefault="6E1B75D1" w:rsidP="6E1B75D1">
      <w:pPr>
        <w:spacing w:after="0" w:line="240" w:lineRule="auto"/>
        <w:ind w:firstLine="1701"/>
        <w:jc w:val="both"/>
        <w:rPr>
          <w:rFonts w:ascii="Times New Roman" w:hAnsi="Times New Roman"/>
          <w:sz w:val="26"/>
          <w:szCs w:val="26"/>
        </w:rPr>
      </w:pPr>
    </w:p>
    <w:p w14:paraId="35F73CB7" w14:textId="2C1F3F80" w:rsidR="66AECE3D" w:rsidRDefault="66AECE3D" w:rsidP="6E1B75D1">
      <w:pPr>
        <w:spacing w:after="0" w:line="240" w:lineRule="auto"/>
        <w:jc w:val="both"/>
        <w:rPr>
          <w:rFonts w:ascii="Times New Roman" w:hAnsi="Times New Roman"/>
          <w:b/>
          <w:bCs/>
          <w:sz w:val="26"/>
          <w:szCs w:val="26"/>
        </w:rPr>
      </w:pPr>
      <w:r w:rsidRPr="23C96B68">
        <w:rPr>
          <w:rFonts w:ascii="Times New Roman" w:hAnsi="Times New Roman"/>
          <w:b/>
          <w:bCs/>
          <w:sz w:val="26"/>
          <w:szCs w:val="26"/>
        </w:rPr>
        <w:t>2.</w:t>
      </w:r>
      <w:r w:rsidR="1DAB1130" w:rsidRPr="23C96B68">
        <w:rPr>
          <w:rFonts w:ascii="Times New Roman" w:hAnsi="Times New Roman"/>
          <w:b/>
          <w:bCs/>
          <w:sz w:val="26"/>
          <w:szCs w:val="26"/>
        </w:rPr>
        <w:t>5.</w:t>
      </w:r>
      <w:r w:rsidRPr="23C96B68">
        <w:rPr>
          <w:rFonts w:ascii="Times New Roman" w:hAnsi="Times New Roman"/>
          <w:b/>
          <w:bCs/>
          <w:sz w:val="26"/>
          <w:szCs w:val="26"/>
        </w:rPr>
        <w:t xml:space="preserve"> </w:t>
      </w:r>
      <w:r w:rsidRPr="23C96B68">
        <w:rPr>
          <w:rFonts w:ascii="Times New Roman" w:hAnsi="Times New Roman"/>
          <w:b/>
          <w:bCs/>
          <w:sz w:val="26"/>
          <w:szCs w:val="26"/>
          <w:u w:val="single"/>
        </w:rPr>
        <w:t>Do direito adquirido e da coisa julgada sobre o pagamento da VPNI e da GAE</w:t>
      </w:r>
    </w:p>
    <w:p w14:paraId="27DD0D7E" w14:textId="3A83416B"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CA991B4" w14:textId="62A0B957"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Em tema que reflete valores de até </w:t>
      </w:r>
      <w:r w:rsidRPr="6E1B75D1">
        <w:rPr>
          <w:rFonts w:ascii="Times New Roman" w:hAnsi="Times New Roman"/>
          <w:b/>
          <w:bCs/>
          <w:sz w:val="26"/>
          <w:szCs w:val="26"/>
        </w:rPr>
        <w:t>R$ 3.500,00</w:t>
      </w:r>
      <w:r w:rsidRPr="6E1B75D1">
        <w:rPr>
          <w:rFonts w:ascii="Times New Roman" w:hAnsi="Times New Roman"/>
          <w:sz w:val="26"/>
          <w:szCs w:val="26"/>
        </w:rPr>
        <w:t xml:space="preserve"> (três mil e quinhentos reais) por mês, incorporados há remuneração há mais de 20 anos, não há como esquecer do princípio da segurança jurídica e de dois dos seus corolários: direito adquirido e coisa julgada.</w:t>
      </w:r>
    </w:p>
    <w:p w14:paraId="75BB53F8" w14:textId="011F645D"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954AC99" w14:textId="29A34434"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Pelo referido até aqui, nota-se que há direito adquirido dos substituídos aos quintos incorporados com base no artigo 62 da Lei nº 8.112, de 1990, no artigo 3º da Lei nº 8.911, de 1994, no artigo 15 da Lei nº 9.421, de 1996, e nos regulamentos correspondentes que, embora revogados, tiveram seus efeitos mantidos pela lei revogadora, a qual transformou as parcelas incorporadas em Vantagem Pessoal Nominalmente Identificada, sujeita exclusivamente à revisão geral de remuneração.</w:t>
      </w:r>
    </w:p>
    <w:p w14:paraId="5FFDBF57" w14:textId="355F3A6F"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7D681B4" w14:textId="114DAE4C"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Nesse sentido, garante a Constituição da República: </w:t>
      </w:r>
    </w:p>
    <w:p w14:paraId="14EB063D" w14:textId="4C45D04B"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A2AD74C" w14:textId="736DD0F5" w:rsidR="66AECE3D" w:rsidRDefault="66AECE3D" w:rsidP="6E1B75D1">
      <w:pPr>
        <w:spacing w:after="0" w:line="240" w:lineRule="auto"/>
        <w:ind w:left="1701"/>
        <w:jc w:val="both"/>
        <w:rPr>
          <w:rFonts w:ascii="Times New Roman" w:hAnsi="Times New Roman"/>
          <w:sz w:val="26"/>
          <w:szCs w:val="26"/>
        </w:rPr>
      </w:pPr>
      <w:r w:rsidRPr="6E1B75D1">
        <w:rPr>
          <w:rFonts w:ascii="Times New Roman" w:hAnsi="Times New Roman"/>
        </w:rPr>
        <w:t>Art. 5º (...) XXXVI - a lei não prejudicará o direito adquirido, o ato jurídico perfeito e a coisa julgada;</w:t>
      </w:r>
      <w:r w:rsidRPr="6E1B75D1">
        <w:rPr>
          <w:rFonts w:ascii="Times New Roman" w:hAnsi="Times New Roman"/>
          <w:sz w:val="26"/>
          <w:szCs w:val="26"/>
        </w:rPr>
        <w:t xml:space="preserve"> </w:t>
      </w:r>
    </w:p>
    <w:p w14:paraId="64044E05" w14:textId="092FC0DE"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3FA5C87" w14:textId="7D4C1C8E"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No âmbito legislativo ordinário, o direito adquirido encontra proteção no § 2º do artigo 6º da LINDB:</w:t>
      </w:r>
    </w:p>
    <w:p w14:paraId="59E6688D" w14:textId="2971067E"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9DC909F" w14:textId="28AFCC30" w:rsidR="66AECE3D" w:rsidRDefault="66AECE3D" w:rsidP="6E1B75D1">
      <w:pPr>
        <w:spacing w:after="0" w:line="240" w:lineRule="auto"/>
        <w:ind w:left="1701"/>
        <w:jc w:val="both"/>
        <w:rPr>
          <w:rFonts w:ascii="Times New Roman" w:hAnsi="Times New Roman"/>
        </w:rPr>
      </w:pPr>
      <w:r w:rsidRPr="6E1B75D1">
        <w:rPr>
          <w:rFonts w:ascii="Times New Roman" w:hAnsi="Times New Roman"/>
        </w:rPr>
        <w:t xml:space="preserve">Art. 6º (...) § 2º Consideram-se adquiridos assim os direitos que o seu titular, ou alguém por ele, possa exercer, como aqueles cujo começo do exercício tenha termo prefixo, ou condição preestabelecida inalterável, a arbítrio de outrem. </w:t>
      </w:r>
    </w:p>
    <w:p w14:paraId="693AC351" w14:textId="05432C2D"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F2A0AA5" w14:textId="4495B915"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A incorporação de gratificação por servidor investido em função comissionada foi disciplinada pela Lei 8.112/90, na redação original do artigo 62, que previu a proporção de um quinto por ano de exercício na função até o limite de cinco quintos. Como a aplicação desses critérios dependiam de lei específica, segundo os termos do parágrafo 5º, surgiu, nesse contexto, a Lei 8.911, de 11.07.94, que veio </w:t>
      </w:r>
      <w:r w:rsidRPr="6E1B75D1">
        <w:rPr>
          <w:rFonts w:ascii="Times New Roman" w:hAnsi="Times New Roman"/>
          <w:sz w:val="26"/>
          <w:szCs w:val="26"/>
        </w:rPr>
        <w:lastRenderedPageBreak/>
        <w:t>definir os critérios de incorporação de vantagens estabelecidos no Regime Jurídico Único.</w:t>
      </w:r>
    </w:p>
    <w:p w14:paraId="7B202A59" w14:textId="4F9EF64B"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6704640" w14:textId="0FBB408A"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Com a Lei 9.527, de 1997, foram alterados os artigos 62, da Lei 8.112/90 e 3º, da Lei 8.911/94, excluindo-se do seu texto os parágrafos referentes à incorporação da vantagem, que passou a se denominar Vantagem Pessoal Nominalmente Identificada (VPNI).</w:t>
      </w:r>
    </w:p>
    <w:p w14:paraId="49CF32CA" w14:textId="57803D83"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45512FA" w14:textId="1696D1C3"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Com efeito, antes da criação da Gratificação de Atividade Externa (GAE), o recorrente adquiriu o direito à incorporação (ou à atualização) da FC pelo exercício da função de executante de mandados. Na forma da legislação regência, os quintos foram transformados em VPNI e incorporados como parcela definitiva da remuneração, integrada ao patrimônio jurídico de cada servidor.</w:t>
      </w:r>
    </w:p>
    <w:p w14:paraId="29C26CEC" w14:textId="1A324244"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026C0EB" w14:textId="2AE35ED3"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Sobre o período entre 1998 e 2001 (Medida Provisória 2.225-45/2001), os Tribunais passaram pelo questionamento da legalidade dos quintos (inclusive no TCU). Contudo, no julgamento dos embargos do</w:t>
      </w:r>
      <w:r w:rsidRPr="6E1B75D1">
        <w:rPr>
          <w:rFonts w:ascii="Times New Roman" w:hAnsi="Times New Roman"/>
          <w:b/>
          <w:bCs/>
          <w:sz w:val="26"/>
          <w:szCs w:val="26"/>
        </w:rPr>
        <w:t xml:space="preserve"> RE 638115 RG-CE</w:t>
      </w:r>
      <w:r w:rsidRPr="6E1B75D1">
        <w:rPr>
          <w:rFonts w:ascii="Times New Roman" w:hAnsi="Times New Roman"/>
          <w:sz w:val="26"/>
          <w:szCs w:val="26"/>
        </w:rPr>
        <w:t>, considerou-se indevida a cessação imediata do pagamento dos quintos quando fundado em decisão judicial definitiva, reconhecendo a existência de repercussão geral de questão constitucional suscitada em quintos, o que demonstra a preocupação com o princípio da segurança jurídica e da proteção da confiança legítima.</w:t>
      </w:r>
    </w:p>
    <w:p w14:paraId="7ABA0B10" w14:textId="17B3A863"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8537727" w14:textId="637C4F38"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Além disso, o Superior Tribunal de Justiça entende que vantagens pessoais decorrentes do exercício de função gratificada (quintos/décimos), uma vez incorporadas pelo servidor público, não poderiam ser retiradas do patrimônio jurídico de seus beneficiários. Vejam-se as ementas seguintes:</w:t>
      </w:r>
    </w:p>
    <w:p w14:paraId="52F10448" w14:textId="47032E2E"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429AB80" w14:textId="4E7B5636" w:rsidR="66AECE3D" w:rsidRDefault="66AECE3D" w:rsidP="6E1B75D1">
      <w:pPr>
        <w:spacing w:after="0" w:line="240" w:lineRule="auto"/>
        <w:ind w:left="1701"/>
        <w:jc w:val="both"/>
        <w:rPr>
          <w:rFonts w:ascii="Times New Roman" w:hAnsi="Times New Roman"/>
        </w:rPr>
      </w:pPr>
      <w:r w:rsidRPr="6E1B75D1">
        <w:rPr>
          <w:rFonts w:ascii="Times New Roman" w:hAnsi="Times New Roman"/>
        </w:rPr>
        <w:t xml:space="preserve">CONSTITUCIONAL - ADMINISTRATIVO – RECURSO ORDINÁRIO EM MANDADO DE SEGURANÇA - ANTIGA SERVIDORA PÚBLICA DO TRIBUNAL DE JUSTIÇA DO DISTRITO FEDERAL E DOS TERRITÓRIOS - </w:t>
      </w:r>
      <w:r w:rsidRPr="6E1B75D1">
        <w:rPr>
          <w:rFonts w:ascii="Times New Roman" w:hAnsi="Times New Roman"/>
          <w:b/>
          <w:bCs/>
        </w:rPr>
        <w:t>"QUINTOS" INCORPORADOS</w:t>
      </w:r>
      <w:r w:rsidRPr="6E1B75D1">
        <w:rPr>
          <w:rFonts w:ascii="Times New Roman" w:hAnsi="Times New Roman"/>
        </w:rPr>
        <w:t xml:space="preserve"> - TRANSPOSIÇÃO DESTES VALORES PARA O CARGO DE PROCURADORA DO DISTRITO FEDERAL, ALÇADO POR MEIO DE CONCURSO PÚBLICO - VANTAGENS PESSOAIS - POSSIBILIDADE - ORDEM CONCEDIDA.</w:t>
      </w:r>
    </w:p>
    <w:p w14:paraId="1C26D2A7" w14:textId="0C0D94B0" w:rsidR="66AECE3D" w:rsidRDefault="66AECE3D" w:rsidP="6E1B75D1">
      <w:pPr>
        <w:spacing w:after="0" w:line="240" w:lineRule="auto"/>
        <w:ind w:left="1701"/>
        <w:jc w:val="both"/>
        <w:rPr>
          <w:rFonts w:ascii="Times New Roman" w:hAnsi="Times New Roman"/>
        </w:rPr>
      </w:pPr>
      <w:r w:rsidRPr="6E1B75D1">
        <w:rPr>
          <w:rFonts w:ascii="Times New Roman" w:hAnsi="Times New Roman"/>
        </w:rPr>
        <w:t xml:space="preserve">1 - Consoante uníssona jurisprudência desta Corte Superior, através de suas 5ª e 6ª Turmas, competentes para julgar o tema (cf. entre outros, ROMS nºs 12.122/DF, 12.138/DF, 11.676/DF, 11.172/RS; e REsp nºs 254.709/DF, 396.791/DF, 275.189/DF), </w:t>
      </w:r>
      <w:r w:rsidRPr="6E1B75D1">
        <w:rPr>
          <w:rFonts w:ascii="Times New Roman" w:hAnsi="Times New Roman"/>
          <w:b/>
          <w:bCs/>
        </w:rPr>
        <w:t>os chamados "quintos", uma vez incorporados, tornam-se vantagens pessoais, não podendo mais ser retirados do patrimônio de seus beneficiários..</w:t>
      </w:r>
      <w:r w:rsidRPr="6E1B75D1">
        <w:rPr>
          <w:rFonts w:ascii="Times New Roman" w:hAnsi="Times New Roman"/>
        </w:rPr>
        <w:t>.(RMS 13299/DF, DJ 13.10.2003, Rel. Min. Jorge Scartezzini)</w:t>
      </w:r>
    </w:p>
    <w:p w14:paraId="732CB622" w14:textId="3B7D8AC2" w:rsidR="66AECE3D" w:rsidRDefault="66AECE3D" w:rsidP="6E1B75D1">
      <w:pPr>
        <w:spacing w:after="0" w:line="240" w:lineRule="auto"/>
        <w:ind w:left="1701"/>
        <w:jc w:val="both"/>
        <w:rPr>
          <w:rFonts w:ascii="Times New Roman" w:hAnsi="Times New Roman"/>
        </w:rPr>
      </w:pPr>
      <w:r w:rsidRPr="6E1B75D1">
        <w:rPr>
          <w:rFonts w:ascii="Times New Roman" w:hAnsi="Times New Roman"/>
        </w:rPr>
        <w:t xml:space="preserve"> </w:t>
      </w:r>
    </w:p>
    <w:p w14:paraId="297C66DD" w14:textId="34267A82" w:rsidR="66AECE3D" w:rsidRDefault="66AECE3D" w:rsidP="6E1B75D1">
      <w:pPr>
        <w:spacing w:after="0" w:line="240" w:lineRule="auto"/>
        <w:ind w:left="1701"/>
        <w:jc w:val="both"/>
        <w:rPr>
          <w:rFonts w:ascii="Times New Roman" w:hAnsi="Times New Roman"/>
        </w:rPr>
      </w:pPr>
      <w:r w:rsidRPr="6E1B75D1">
        <w:rPr>
          <w:rFonts w:ascii="Times New Roman" w:hAnsi="Times New Roman"/>
        </w:rPr>
        <w:t xml:space="preserve">RECURSO ORDINÁRIO EM MANDADO DE SEGURANÇA. ADMINISTRATIVO. INCORPORAÇÃO DE GRATIFICAÇÕES E FUNÇÕES GRATIFICADAS EXERCIDAS EM OUTRO PODER. </w:t>
      </w:r>
      <w:r w:rsidRPr="6E1B75D1">
        <w:rPr>
          <w:rFonts w:ascii="Times New Roman" w:hAnsi="Times New Roman"/>
          <w:b/>
          <w:bCs/>
        </w:rPr>
        <w:t>DIREITO ADQUIRIDO</w:t>
      </w:r>
      <w:r w:rsidRPr="6E1B75D1">
        <w:rPr>
          <w:rFonts w:ascii="Times New Roman" w:hAnsi="Times New Roman"/>
        </w:rPr>
        <w:t>. LEI Nº 10.842/96. (...)</w:t>
      </w:r>
    </w:p>
    <w:p w14:paraId="1D155484" w14:textId="7BE7E432" w:rsidR="66AECE3D" w:rsidRDefault="66AECE3D" w:rsidP="6E1B75D1">
      <w:pPr>
        <w:spacing w:after="0" w:line="240" w:lineRule="auto"/>
        <w:ind w:left="1701"/>
        <w:jc w:val="both"/>
        <w:rPr>
          <w:rFonts w:ascii="Times New Roman" w:hAnsi="Times New Roman"/>
        </w:rPr>
      </w:pPr>
      <w:r w:rsidRPr="6E1B75D1">
        <w:rPr>
          <w:rFonts w:ascii="Times New Roman" w:hAnsi="Times New Roman"/>
        </w:rPr>
        <w:lastRenderedPageBreak/>
        <w:t xml:space="preserve">2. </w:t>
      </w:r>
      <w:r w:rsidRPr="6E1B75D1">
        <w:rPr>
          <w:rFonts w:ascii="Times New Roman" w:hAnsi="Times New Roman"/>
          <w:b/>
          <w:bCs/>
        </w:rPr>
        <w:t xml:space="preserve">As vantagens de ordem pessoal, consideradas como tal os adicionais por tempo de serviço as gratificações concedidas em razão da natureza ou do local de trabalho, uma vez incorporadas ao patrimônio do servidor, tornam-se insusceptíveis de extinção </w:t>
      </w:r>
      <w:r w:rsidRPr="6E1B75D1">
        <w:rPr>
          <w:rFonts w:ascii="Times New Roman" w:hAnsi="Times New Roman"/>
        </w:rPr>
        <w:t>(...) (RMS 9936/RS, DJ 04.08.2003, Rel. Min. Hamilton Carvalhido)</w:t>
      </w:r>
    </w:p>
    <w:p w14:paraId="16EE76E2" w14:textId="6E915FE3"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6602171" w14:textId="6A333834"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Se não fosse suficiente, não houve, nesses últimos 20 anos (desde a VPNI) ou 14 anos (desde a GAE), qualquer alteração legislativa ou fato novo que pudesse justificar a mudança de interpretação pelo Órgão de Controle. </w:t>
      </w:r>
    </w:p>
    <w:p w14:paraId="0131302E" w14:textId="07B1395B"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DF8D39D" w14:textId="695916D7"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 Lei 11.416/2006 criou a Gratificação de Atividade Externa – GAE, devida a todos os Oficiais de Justiça que estiverem no efetivo exercício de suas funções. Portanto, essa sim se constitui como uma parcela remuneratória própria do cargo efetivo de Analista Judiciário, especialidade Oficial de Justiça Avaliador Federal, vez que independe de qualquer designação e compõe a estrutura remuneratória do cargo efetivo:</w:t>
      </w:r>
    </w:p>
    <w:p w14:paraId="4C552B8E" w14:textId="24C9C880"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CBDA712" w14:textId="0875B235" w:rsidR="66AECE3D" w:rsidRDefault="66AECE3D" w:rsidP="6E1B75D1">
      <w:pPr>
        <w:spacing w:after="0" w:line="240" w:lineRule="auto"/>
        <w:ind w:left="1701"/>
        <w:jc w:val="both"/>
        <w:rPr>
          <w:rFonts w:ascii="Times New Roman" w:hAnsi="Times New Roman"/>
        </w:rPr>
      </w:pPr>
      <w:r w:rsidRPr="6E1B75D1">
        <w:rPr>
          <w:rFonts w:ascii="Times New Roman" w:hAnsi="Times New Roman"/>
        </w:rPr>
        <w:t xml:space="preserve">Art. 16.  Fica instituída a Gratificação de Atividade Externa – GAE, devida exclusivamente aos ocupantes do cargo de Analista Judiciário referidos no § 1º do art. 4º desta Lei. </w:t>
      </w:r>
    </w:p>
    <w:p w14:paraId="00316383" w14:textId="6438BDF1" w:rsidR="66AECE3D" w:rsidRDefault="66AECE3D" w:rsidP="6E1B75D1">
      <w:pPr>
        <w:spacing w:after="0" w:line="240" w:lineRule="auto"/>
        <w:ind w:left="1701"/>
        <w:jc w:val="both"/>
        <w:rPr>
          <w:rFonts w:ascii="Times New Roman" w:hAnsi="Times New Roman"/>
        </w:rPr>
      </w:pPr>
      <w:r w:rsidRPr="6E1B75D1">
        <w:rPr>
          <w:rFonts w:ascii="Times New Roman" w:hAnsi="Times New Roman"/>
        </w:rPr>
        <w:t xml:space="preserve">§ 1º A gratificação de que trata este artigo corresponde a 35% (trinta e cinco por cento) do vencimento básico do servidor. </w:t>
      </w:r>
    </w:p>
    <w:p w14:paraId="24752383" w14:textId="07534C45" w:rsidR="66AECE3D" w:rsidRDefault="66AECE3D" w:rsidP="6E1B75D1">
      <w:pPr>
        <w:spacing w:after="0" w:line="240" w:lineRule="auto"/>
        <w:ind w:left="1701"/>
        <w:jc w:val="both"/>
        <w:rPr>
          <w:rFonts w:ascii="Times New Roman" w:hAnsi="Times New Roman"/>
        </w:rPr>
      </w:pPr>
      <w:r w:rsidRPr="6E1B75D1">
        <w:rPr>
          <w:rFonts w:ascii="Times New Roman" w:hAnsi="Times New Roman"/>
        </w:rPr>
        <w:t xml:space="preserve">§ 2º É vedada a percepção da gratificação prevista neste artigo pelo servidor designado para o exercício de função comissionada ou nomeado para cargo em comissão. </w:t>
      </w:r>
    </w:p>
    <w:p w14:paraId="22D114CC" w14:textId="590904FD"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1AEBE00" w14:textId="0C94A9A7"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Dessa forma, a Lei 11.416/2006 instituiu a Gratificação de Atividade Externa, como vantagem integrante da estrutura remuneratória do cargo de provimento efetivo de Oficial de Justiça Avaliador Federal, sem natureza de função comissionada, vez que – diferentemente da GRG e da FC - independe de qualquer juízo de discricionariedade na sua concessão.</w:t>
      </w:r>
    </w:p>
    <w:p w14:paraId="2B954ABA" w14:textId="0EFF74AC"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2BAAFA9" w14:textId="7F8A88BE"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O simples exercício das atribuições do cargo, pelo servidor, faz surgir o direito subjetivo à percepção da vantagem, que inclusive deve também integrar seus futuros proventos de aposentadorias que devam ser calculados com base na totalidade da remuneração do cargo efetivo, até porque, dada a sua natureza remuneratória, a parcela integra a remuneração contributiva utilizada no cálculo dos proventos.</w:t>
      </w:r>
    </w:p>
    <w:p w14:paraId="65BDE2B9" w14:textId="57787877"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3DDA699" w14:textId="43301B83"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Desse modo, em razão da entrada em vigor da Lei 11.416/2006, em 15 de dezembro de 2007, os Oficiais de Justiça passaram a fazer jus à Gratificação de Atividade Externa, sendo esta implementada também na remuneração dos servidores que possuíam VPNI oriunda de quintos incorporados.</w:t>
      </w:r>
    </w:p>
    <w:p w14:paraId="70EBA125" w14:textId="6E90D0EB"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B8F184D" w14:textId="050BBAAD"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lastRenderedPageBreak/>
        <w:t xml:space="preserve">Nesse sentido, a legislação em vigor desde a instituição da GAE afirmou a sua compatibilidade com as demais parcelas remuneratórias já incorporadas. </w:t>
      </w:r>
      <w:r w:rsidRPr="6E1B75D1">
        <w:rPr>
          <w:rFonts w:ascii="Times New Roman" w:hAnsi="Times New Roman"/>
          <w:b/>
          <w:bCs/>
          <w:sz w:val="26"/>
          <w:szCs w:val="26"/>
        </w:rPr>
        <w:t>Entre a GAE e qualquer VPNI é impossível a existência de</w:t>
      </w:r>
      <w:r w:rsidRPr="6E1B75D1">
        <w:rPr>
          <w:rFonts w:ascii="Times New Roman" w:hAnsi="Times New Roman"/>
          <w:b/>
          <w:bCs/>
          <w:i/>
          <w:iCs/>
          <w:sz w:val="26"/>
          <w:szCs w:val="26"/>
        </w:rPr>
        <w:t xml:space="preserve"> bis in idem</w:t>
      </w:r>
      <w:r w:rsidR="4C6F0798" w:rsidRPr="6E1B75D1">
        <w:rPr>
          <w:rFonts w:ascii="Times New Roman" w:hAnsi="Times New Roman"/>
          <w:sz w:val="26"/>
          <w:szCs w:val="26"/>
        </w:rPr>
        <w:t>, conforme afirmado na decisão</w:t>
      </w:r>
      <w:r w:rsidRPr="6E1B75D1">
        <w:rPr>
          <w:rFonts w:ascii="Times New Roman" w:hAnsi="Times New Roman"/>
          <w:sz w:val="26"/>
          <w:szCs w:val="26"/>
        </w:rPr>
        <w:t>, seja porque é posicionamento pacificado na jurisprudência que a VPNI não guarda conexão com a parcela que lhe deu origem, seja porque a incorporação se deu sobre GRG e FC em função de confiança de executante de mandados, diversa da GAE. O equívoco da Corte de Contas contraria a consolidação da interpretação judicial a respeito.</w:t>
      </w:r>
    </w:p>
    <w:p w14:paraId="186D890A" w14:textId="6924102D"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C413DAC" w14:textId="69E4610A"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A outra perspectiva apresentada pela Corte de Contas, nos acórdãos paradigmas que influenciaram as atuações dos tribunais, afirma a proibição do recebimento das parcelas GAE e VPNI por suposta incidência do § 2º do artigo 16 da Lei 11.416, de 2006. Ora, o referido §2º do artigo 16 veda apenas o pagamento da GAE para quem estiver </w:t>
      </w:r>
      <w:r w:rsidRPr="6E1B75D1">
        <w:rPr>
          <w:rFonts w:ascii="Times New Roman" w:hAnsi="Times New Roman"/>
          <w:b/>
          <w:bCs/>
          <w:sz w:val="26"/>
          <w:szCs w:val="26"/>
          <w:u w:val="single"/>
        </w:rPr>
        <w:t>no exercício</w:t>
      </w:r>
      <w:r w:rsidRPr="6E1B75D1">
        <w:rPr>
          <w:rFonts w:ascii="Times New Roman" w:hAnsi="Times New Roman"/>
          <w:sz w:val="26"/>
          <w:szCs w:val="26"/>
        </w:rPr>
        <w:t xml:space="preserve"> simultâneo e presente de função comissionada ou </w:t>
      </w:r>
      <w:r w:rsidRPr="6E1B75D1">
        <w:rPr>
          <w:rFonts w:ascii="Times New Roman" w:hAnsi="Times New Roman"/>
          <w:b/>
          <w:bCs/>
          <w:sz w:val="26"/>
          <w:szCs w:val="26"/>
          <w:u w:val="single"/>
        </w:rPr>
        <w:t>nomeado</w:t>
      </w:r>
      <w:r w:rsidRPr="6E1B75D1">
        <w:rPr>
          <w:rFonts w:ascii="Times New Roman" w:hAnsi="Times New Roman"/>
          <w:sz w:val="26"/>
          <w:szCs w:val="26"/>
        </w:rPr>
        <w:t xml:space="preserve"> para cargo em comissão. E a razão é bastante simples: se estiver no desempenho de função comissionada de assessoria interna, não estará na atividade externa que suscita a GAE (caso de assessoria em gabinete, por exemplo). Em resumo, </w:t>
      </w:r>
      <w:r w:rsidRPr="6E1B75D1">
        <w:rPr>
          <w:rFonts w:ascii="Times New Roman" w:hAnsi="Times New Roman"/>
          <w:b/>
          <w:bCs/>
          <w:sz w:val="26"/>
          <w:szCs w:val="26"/>
        </w:rPr>
        <w:t xml:space="preserve">a restrição se dirige apenas ao exercício – na atividade </w:t>
      </w:r>
      <w:r w:rsidRPr="6E1B75D1">
        <w:rPr>
          <w:rFonts w:ascii="Times New Roman" w:hAnsi="Times New Roman"/>
          <w:sz w:val="26"/>
          <w:szCs w:val="26"/>
        </w:rPr>
        <w:t>– de FC ou CJ concomitante com a função de oficial de justiça, a partir da integralização da GAE.</w:t>
      </w:r>
    </w:p>
    <w:p w14:paraId="28DD1C5F" w14:textId="5DE68AC9"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A5A43DD" w14:textId="14FBD888"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É tão equivocada a interpretação aplicada pelo TCU que no paradigmático Acórdão 2784/2016/TCU-Plenário, assim como em seus similares, a Corte de Contas ressalva que não está proibida a VPNI de quintos de outras funções comissionadas ou cargos em comissão, contrapondo-se ao próprio argumento que invoca o § 2º do artigo 16 da Lei 11.416/2016 como pretenso óbice.</w:t>
      </w:r>
    </w:p>
    <w:p w14:paraId="15820617" w14:textId="36D4C9FA"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57A9AC0" w14:textId="16A46DFB"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Se quisesse o legislador restringir o direito à GAE nas hipóteses em que os servidores possuem parcelas de função incorporadas, isso seria feito expressamente, não cabendo ao TCU legislar para incluir uma extensão da lei ordinária.</w:t>
      </w:r>
    </w:p>
    <w:p w14:paraId="36458FE0" w14:textId="6CC13ED9"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C9703F0" w14:textId="5E2A37E0" w:rsidR="66AECE3D" w:rsidRDefault="66AECE3D" w:rsidP="6E1B75D1">
      <w:pPr>
        <w:spacing w:after="0" w:line="240" w:lineRule="auto"/>
        <w:jc w:val="both"/>
        <w:rPr>
          <w:rFonts w:ascii="Times New Roman" w:hAnsi="Times New Roman"/>
          <w:b/>
          <w:bCs/>
          <w:sz w:val="26"/>
          <w:szCs w:val="26"/>
        </w:rPr>
      </w:pPr>
      <w:r w:rsidRPr="23C96B68">
        <w:rPr>
          <w:rFonts w:ascii="Times New Roman" w:hAnsi="Times New Roman"/>
          <w:b/>
          <w:bCs/>
          <w:sz w:val="26"/>
          <w:szCs w:val="26"/>
        </w:rPr>
        <w:t>2.</w:t>
      </w:r>
      <w:r w:rsidR="1DD0933F" w:rsidRPr="23C96B68">
        <w:rPr>
          <w:rFonts w:ascii="Times New Roman" w:hAnsi="Times New Roman"/>
          <w:b/>
          <w:bCs/>
          <w:sz w:val="26"/>
          <w:szCs w:val="26"/>
        </w:rPr>
        <w:t>6.</w:t>
      </w:r>
      <w:r w:rsidRPr="23C96B68">
        <w:rPr>
          <w:rFonts w:ascii="Times New Roman" w:hAnsi="Times New Roman"/>
          <w:b/>
          <w:bCs/>
          <w:sz w:val="26"/>
          <w:szCs w:val="26"/>
        </w:rPr>
        <w:t xml:space="preserve"> </w:t>
      </w:r>
      <w:r w:rsidRPr="23C96B68">
        <w:rPr>
          <w:rFonts w:ascii="Times New Roman" w:hAnsi="Times New Roman"/>
          <w:b/>
          <w:bCs/>
          <w:sz w:val="26"/>
          <w:szCs w:val="26"/>
          <w:u w:val="single"/>
        </w:rPr>
        <w:t>VPNI: ausência de correlação com a parcela original transformada – previsão legal e jurisprudencial</w:t>
      </w:r>
      <w:r w:rsidRPr="23C96B68">
        <w:rPr>
          <w:rFonts w:ascii="Times New Roman" w:hAnsi="Times New Roman"/>
          <w:b/>
          <w:bCs/>
          <w:sz w:val="26"/>
          <w:szCs w:val="26"/>
        </w:rPr>
        <w:t xml:space="preserve"> </w:t>
      </w:r>
    </w:p>
    <w:p w14:paraId="0E1BDC6F" w14:textId="044B1F2E"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96ACADD" w14:textId="6AF90BAF"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 VPNI resultante da transformação dos “quintos” do recorrente não mantém correlação com a parcela originária. Essa característica é própria das vantagens pessoais nominalmente identificadas, reajustáveis apenas pelas revisões gerais de remuneração.</w:t>
      </w:r>
    </w:p>
    <w:p w14:paraId="008AA7F2" w14:textId="4B70D939"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AFF7C76" w14:textId="2CC9AFF7"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O TRF da 1ª. Região, reiteradamente, afirmou essa ruptura, demonstrando que os reajustes e reestruturações específicos da parcela de origem não se aplicam à VPNI. Nesse sentido:</w:t>
      </w:r>
    </w:p>
    <w:p w14:paraId="6E30CC3A" w14:textId="281E95BA"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4B6DA3B" w14:textId="5800D16F" w:rsidR="66AECE3D" w:rsidRDefault="66AECE3D" w:rsidP="6E1B75D1">
      <w:pPr>
        <w:spacing w:after="0" w:line="240" w:lineRule="auto"/>
        <w:ind w:left="1701"/>
        <w:jc w:val="both"/>
        <w:rPr>
          <w:rFonts w:ascii="Times New Roman" w:hAnsi="Times New Roman"/>
        </w:rPr>
      </w:pPr>
      <w:r w:rsidRPr="6E1B75D1">
        <w:rPr>
          <w:rFonts w:ascii="Times New Roman" w:hAnsi="Times New Roman"/>
        </w:rPr>
        <w:lastRenderedPageBreak/>
        <w:t xml:space="preserve">Quintos Incorporados. Transformação em Vantagem Pessoal Nominalmente Identifica. Reajuste pelo percentual concedido pela lei 10.415 de 2006. Impossibilidade. Sentença Mantida. 1. Por força do art. 15 da Lei 9.527 de 97, os valores já incorporados a título de quintos, a partir de 11 – 12 – 1997, passaram a constituir vantagem pessoal nominalmente identificada – </w:t>
      </w:r>
      <w:r w:rsidRPr="6E1B75D1">
        <w:rPr>
          <w:rFonts w:ascii="Times New Roman" w:hAnsi="Times New Roman"/>
          <w:b/>
          <w:bCs/>
        </w:rPr>
        <w:t>VPNI, cuja atualização se sujeita apenas à revisão geral de remuneração dos servidores públicos federais, visto que desvinculada da verba que lhe deu origem (função gratificada).</w:t>
      </w:r>
      <w:r w:rsidRPr="6E1B75D1">
        <w:rPr>
          <w:rFonts w:ascii="Times New Roman" w:hAnsi="Times New Roman"/>
        </w:rPr>
        <w:t xml:space="preserve"> 2. O STJ, na linha de precedentes do Supremo Tribunal Federal, entende que não há violação ao princípio da irredutibilidade de vencimentos quando da alteração dos critérios de reajuste das funções comissionadas transformadas em VPNI, porquanto inexiste direito adquirido a regime jurídico. 3. A Lei 10.475 de 2002 promoveu a reestruturação das carreiras do Poder Judiciário Federal, de acordo com critérios de oportunidade e conveniência da Administração Pública não podendo ser tida como reajuste geral anual. 4. Assim, a pretensão de corrigir a VPNI pelo percentual de reajuste concedido pela Lei 11.415 de 2006 viola o princípio da legalidade. 5. Apelação desprovida. Sentença mantida. (TRF 1ª. 1ª. Turma.  Rel. Des. César Augusto Bearsi - NUP 001311530.2008.4.01.3400 – AC 2008.34.00.013181-6-DF – data de publicação 08-05-2019)</w:t>
      </w:r>
    </w:p>
    <w:p w14:paraId="6033C746" w14:textId="4A9D0E27"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2329F50" w14:textId="611647F0"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Ao analisar a consulta do TRF2 ao Conselho da Justiça Federal (processo 0005894.06.2019.4.90.8000) sobre a acumulação das parcelas, o Conselho Carlos Moreira Alves, em seu voto-vista, também atesta a desvinculação da natureza jurídica da VPNI, quando afirma:</w:t>
      </w:r>
    </w:p>
    <w:p w14:paraId="6EA18DB6" w14:textId="331C3C98"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AEBCB15" w14:textId="69C22FD0" w:rsidR="66AECE3D" w:rsidRDefault="66AECE3D" w:rsidP="6E1B75D1">
      <w:pPr>
        <w:spacing w:after="0" w:line="240" w:lineRule="auto"/>
        <w:ind w:left="1701"/>
        <w:jc w:val="both"/>
        <w:rPr>
          <w:rFonts w:ascii="Times New Roman" w:hAnsi="Times New Roman"/>
        </w:rPr>
      </w:pPr>
      <w:r w:rsidRPr="6E1B75D1">
        <w:rPr>
          <w:rFonts w:ascii="Times New Roman" w:hAnsi="Times New Roman"/>
        </w:rPr>
        <w:t xml:space="preserve">“Tão pouco estabeleceu que aqueles que cujas remunerações ou proventos contassem parcelas incorporadas em decorrência do exercício, no passado, de funções comissionadas ou de cargos em comissão, teriam, em razão da instituição da Gratificação de Atividade Externa, de optar entre o recebimento desta ou o do valor da parcela incorporada em suas remunerações ou proventos, </w:t>
      </w:r>
      <w:r w:rsidRPr="6E1B75D1">
        <w:rPr>
          <w:rFonts w:ascii="Times New Roman" w:hAnsi="Times New Roman"/>
          <w:b/>
          <w:bCs/>
        </w:rPr>
        <w:t>até porque, uma vez que haja incorporação, o valor incorporado se desprende da função ou do cargo cujo exercício, prolongado no tempo, deu margem a ela, passando, a partir daí, a integrar a remuneração do beneficiário, como vantagem pecuniária permanente, autônoma, na forma enunciada no artigo 41 da Lei. 8.112, de 11 de dezembro de 1.990.</w:t>
      </w:r>
      <w:r w:rsidRPr="6E1B75D1">
        <w:rPr>
          <w:rFonts w:ascii="Times New Roman" w:hAnsi="Times New Roman"/>
        </w:rPr>
        <w:t>”</w:t>
      </w:r>
    </w:p>
    <w:p w14:paraId="5ACB7239" w14:textId="48CD5774"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383F90E" w14:textId="1A0AB2CD" w:rsidR="66AECE3D" w:rsidRDefault="66AECE3D"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No caso em análise, a incorporação das parcelas de retribuição pelo exercício de função de Executante de Mandados (quintos da FC-5), por atos emitidos há mais de 20 anos, foi transformada pela Lei 9.527/97 em Vantagem Pessoal Nominalmente Identificada – VPNI, alterando-se a sua natureza jurídica. Desde então, não é mais possível confundi-la com qualquer função comissionada, tampouco com a Gratificação de Atividade Externa (GAE).</w:t>
      </w:r>
    </w:p>
    <w:p w14:paraId="15809FF9" w14:textId="44528E16" w:rsidR="6E1B75D1" w:rsidRDefault="6E1B75D1" w:rsidP="6E1B75D1">
      <w:pPr>
        <w:spacing w:after="0" w:line="240" w:lineRule="auto"/>
        <w:ind w:firstLine="1701"/>
        <w:jc w:val="both"/>
        <w:rPr>
          <w:rFonts w:ascii="Times New Roman" w:hAnsi="Times New Roman"/>
          <w:sz w:val="26"/>
          <w:szCs w:val="26"/>
        </w:rPr>
      </w:pPr>
    </w:p>
    <w:p w14:paraId="4DCACE65" w14:textId="3DEB65F3" w:rsidR="0FF5D67C" w:rsidRDefault="0FF5D67C" w:rsidP="6E1B75D1">
      <w:pPr>
        <w:spacing w:after="0" w:line="240" w:lineRule="auto"/>
        <w:jc w:val="both"/>
        <w:rPr>
          <w:rFonts w:ascii="Times New Roman" w:hAnsi="Times New Roman"/>
          <w:b/>
          <w:bCs/>
          <w:sz w:val="26"/>
          <w:szCs w:val="26"/>
          <w:u w:val="single"/>
        </w:rPr>
      </w:pPr>
      <w:r w:rsidRPr="23C96B68">
        <w:rPr>
          <w:rFonts w:ascii="Times New Roman" w:hAnsi="Times New Roman"/>
          <w:b/>
          <w:bCs/>
          <w:sz w:val="26"/>
          <w:szCs w:val="26"/>
        </w:rPr>
        <w:t>2.</w:t>
      </w:r>
      <w:r w:rsidR="7360C439" w:rsidRPr="23C96B68">
        <w:rPr>
          <w:rFonts w:ascii="Times New Roman" w:hAnsi="Times New Roman"/>
          <w:b/>
          <w:bCs/>
          <w:sz w:val="26"/>
          <w:szCs w:val="26"/>
        </w:rPr>
        <w:t>7.</w:t>
      </w:r>
      <w:r w:rsidRPr="23C96B68">
        <w:rPr>
          <w:rFonts w:ascii="Times New Roman" w:hAnsi="Times New Roman"/>
          <w:b/>
          <w:bCs/>
          <w:sz w:val="26"/>
          <w:szCs w:val="26"/>
          <w:u w:val="single"/>
        </w:rPr>
        <w:t xml:space="preserve"> Da inaplicabilidade do Acórdão nº 2784/2016: ausência de determinação de revisão de atos</w:t>
      </w:r>
    </w:p>
    <w:p w14:paraId="1EF6545A" w14:textId="3DC58948"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04906CF" w14:textId="69222FC4"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Importante destacar-se para o seguinte fato: mesmo quando da fixação do (errôneo) entendimento no Acórdão nº 2784/2016, o Tribunal de Contas </w:t>
      </w:r>
      <w:r w:rsidRPr="6E1B75D1">
        <w:rPr>
          <w:rFonts w:ascii="Times New Roman" w:hAnsi="Times New Roman"/>
          <w:sz w:val="26"/>
          <w:szCs w:val="26"/>
        </w:rPr>
        <w:lastRenderedPageBreak/>
        <w:t xml:space="preserve">da União se deteve à análise de </w:t>
      </w:r>
      <w:r w:rsidRPr="6E1B75D1">
        <w:rPr>
          <w:rFonts w:ascii="Times New Roman" w:hAnsi="Times New Roman"/>
          <w:b/>
          <w:bCs/>
          <w:sz w:val="26"/>
          <w:szCs w:val="26"/>
        </w:rPr>
        <w:t>atos específicos de aposentadoria relacionados a determinados servidores</w:t>
      </w:r>
      <w:r w:rsidRPr="6E1B75D1">
        <w:rPr>
          <w:rFonts w:ascii="Times New Roman" w:hAnsi="Times New Roman"/>
          <w:sz w:val="26"/>
          <w:szCs w:val="26"/>
        </w:rPr>
        <w:t>, não advindo do referido processo nenhuma ordem que pudesse automaticamente ser estendida aos outros servidores.</w:t>
      </w:r>
    </w:p>
    <w:p w14:paraId="1C757638" w14:textId="56882F49"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8F5F3E3" w14:textId="03AD82A3"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Vale dizer, embora tenha provocado os Tribunais Regionais a analisarem a suposta ilegalidade da percepção cumulada da VPNI decorrente de quintos com a GAE, embasado no mencionado acórdão, o Tribunal de Contas da União se equivoca ao partir do pressuposto de que a regra deva ser aplicada indistintamente.</w:t>
      </w:r>
    </w:p>
    <w:p w14:paraId="7B0AFDA4" w14:textId="49699B82"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E1EF119" w14:textId="5E6B6638"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Em outros termos: o Acórdão nº 2784/2016, ainda que tenha apreciado a legalidade de atos de aposentadoria de alguns servidores, </w:t>
      </w:r>
      <w:r w:rsidRPr="6E1B75D1">
        <w:rPr>
          <w:rFonts w:ascii="Times New Roman" w:hAnsi="Times New Roman"/>
          <w:b/>
          <w:bCs/>
          <w:sz w:val="26"/>
          <w:szCs w:val="26"/>
        </w:rPr>
        <w:t>não determinou a revisão das incorporações dos servidores ativos, tampouco dos inativos, “</w:t>
      </w:r>
      <w:r w:rsidRPr="6E1B75D1">
        <w:rPr>
          <w:rFonts w:ascii="Times New Roman" w:hAnsi="Times New Roman"/>
          <w:b/>
          <w:bCs/>
          <w:sz w:val="26"/>
          <w:szCs w:val="26"/>
          <w:u w:val="single"/>
        </w:rPr>
        <w:t>ficando circunscrita ao caso concreto, não obrigando, por conseguinte, os demais órgãos que estão sob sua fiscalização</w:t>
      </w:r>
      <w:r w:rsidRPr="6E1B75D1">
        <w:rPr>
          <w:rFonts w:ascii="Times New Roman" w:hAnsi="Times New Roman"/>
          <w:sz w:val="26"/>
          <w:szCs w:val="26"/>
        </w:rPr>
        <w:t>”.</w:t>
      </w:r>
    </w:p>
    <w:p w14:paraId="42ED03E7" w14:textId="6E3D4504"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589A6DE" w14:textId="48EDBC75"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Levando-se tais aspectos em consideração e tendo em vista o poder de autotutela da Administração Pública, deveria a Administração Pública entender pela legalidade da cumulação dos benefícios em questão, atentando-se para o fato de que inexiste ordem expressa no acórdão tomado como paradigma para que seja imposto qualquer corte em desfavor dos substituídos. </w:t>
      </w:r>
    </w:p>
    <w:p w14:paraId="43B07422" w14:textId="67498327"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4DDE16F" w14:textId="613C2B55" w:rsidR="0FF5D67C" w:rsidRDefault="0FF5D67C" w:rsidP="6E1B75D1">
      <w:pPr>
        <w:spacing w:after="0" w:line="240" w:lineRule="auto"/>
        <w:jc w:val="both"/>
        <w:rPr>
          <w:rFonts w:ascii="Times New Roman" w:hAnsi="Times New Roman"/>
          <w:b/>
          <w:bCs/>
          <w:sz w:val="26"/>
          <w:szCs w:val="26"/>
        </w:rPr>
      </w:pPr>
      <w:r w:rsidRPr="23C96B68">
        <w:rPr>
          <w:rFonts w:ascii="Times New Roman" w:hAnsi="Times New Roman"/>
          <w:b/>
          <w:bCs/>
          <w:sz w:val="26"/>
          <w:szCs w:val="26"/>
        </w:rPr>
        <w:t>2.</w:t>
      </w:r>
      <w:r w:rsidR="2408A830" w:rsidRPr="23C96B68">
        <w:rPr>
          <w:rFonts w:ascii="Times New Roman" w:hAnsi="Times New Roman"/>
          <w:b/>
          <w:bCs/>
          <w:sz w:val="26"/>
          <w:szCs w:val="26"/>
        </w:rPr>
        <w:t>8.</w:t>
      </w:r>
      <w:r w:rsidRPr="23C96B68">
        <w:rPr>
          <w:rFonts w:ascii="Times New Roman" w:hAnsi="Times New Roman"/>
          <w:b/>
          <w:bCs/>
          <w:sz w:val="26"/>
          <w:szCs w:val="26"/>
        </w:rPr>
        <w:t xml:space="preserve"> </w:t>
      </w:r>
      <w:r w:rsidRPr="23C96B68">
        <w:rPr>
          <w:rFonts w:ascii="Times New Roman" w:hAnsi="Times New Roman"/>
          <w:b/>
          <w:bCs/>
          <w:sz w:val="26"/>
          <w:szCs w:val="26"/>
          <w:u w:val="single"/>
        </w:rPr>
        <w:t>Da irredutibilidade</w:t>
      </w:r>
    </w:p>
    <w:p w14:paraId="778CC055" w14:textId="38796348"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B2881D3" w14:textId="023830E2"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O inciso XV do artigo 37 da Constituição da República dispõe sobre o direito de irredutibilidade dos vencimentos dos servidores públicos:</w:t>
      </w:r>
    </w:p>
    <w:p w14:paraId="736610C2" w14:textId="253AE7BB"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E076E13" w14:textId="7364945B"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14:paraId="0E21A66E" w14:textId="6F0807AE" w:rsidR="0FF5D67C" w:rsidRDefault="0FF5D67C" w:rsidP="6E1B75D1">
      <w:pPr>
        <w:spacing w:after="0" w:line="240" w:lineRule="auto"/>
        <w:ind w:left="1701"/>
        <w:jc w:val="both"/>
        <w:rPr>
          <w:rFonts w:ascii="Times New Roman" w:hAnsi="Times New Roman"/>
        </w:rPr>
      </w:pPr>
      <w:r w:rsidRPr="6E1B75D1">
        <w:rPr>
          <w:rFonts w:ascii="Times New Roman" w:hAnsi="Times New Roman"/>
        </w:rPr>
        <w:t>(...) XV - o subsídio e os vencimentos dos ocupantes de cargos e empregos públicos são irredutíveis, ressalvado o disposto nos incisos XI e XIV deste artigo e nos arts. 39, § 4º, 150, II, 153, III, e 153, § 2º, I;</w:t>
      </w:r>
    </w:p>
    <w:p w14:paraId="70FF0051" w14:textId="552452A5"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CA26F08" w14:textId="490AEBBB"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Esse direito de não redução da remuneração se estende a todos os servidores públicos e os protege de leis e atos normativos que eventualmente o violem. Inclusive, o Supremo Tribunal Federal já pacificou o entendimento de que o termo “vencimentos” tem abrangência ampla, no sentido de corresponder à remuneração global, permitindo a extensão, inclusive, da garantia aos cargos em comissão, funções comissionadas, gratificações e demais parcelas remuneratórias, conforme se constata na decisão do RE nº 518.956:</w:t>
      </w:r>
    </w:p>
    <w:p w14:paraId="3AA639B5" w14:textId="50AF48DB"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F07B0C6" w14:textId="45CBF355"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DIREITO ADMINISTRATIVO. AGRAVO REGIMENTAL EM RECURSO EXTRAORDINÁRIO. SERVIDOR PÚBLICO. EXERCÍCIO DE CARGO DE </w:t>
      </w:r>
      <w:r w:rsidRPr="6E1B75D1">
        <w:rPr>
          <w:rFonts w:ascii="Times New Roman" w:hAnsi="Times New Roman"/>
        </w:rPr>
        <w:lastRenderedPageBreak/>
        <w:t>DIREÇÃO. REDUÇÃO DO PERCENTUAL DE OPÇÃO. OFENSA À IRREDUTIBILIDADE DE VENCIMENTOS. SÚMULA 279/STF. 1. A decisão agravada alinha-se ao entendimento do Supremo Tribunal Federal no sentido de que a irredutibilidade de vencimento dos servidores, prevista no art. 37, XV, da Constituição Federal se aplica também às funções de confiança e cargos em comissão exercidos por servidores efetivos. Precedentes. 2. Para dissentir do entendimento do Tribunal de origem, acerca da ocorrência de decesso remuneratório, seria necessário o reexame dos fatos e provas constantes dos autos. Incidência da Súmula 279/STF. 3. Agravo regimental a que se nega provimento. (RE 518956 AgR, Relator(a): Min. ROBERTO BARROSO, Primeira Turma, julgado em 06/10/2015, ACÓRDÃO ELETRÔNICO DJe-216 DIVULG 27-10-2015 PUBLIC 28-10-2015)</w:t>
      </w:r>
    </w:p>
    <w:p w14:paraId="330D575D" w14:textId="30FAD130"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A9A83B0" w14:textId="6A38C86B"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Assim, o servidor possui a garantia de que seus vencimentos não sofrerão redução. Soma-se a isso o fato de já possuir a gratificação por mais de 5 anos incorporada, fazendo com que a repercussão também nos proventos seja uma decorrência legal, conforme o § 11 do artigo 201, combinado com o § 12 do artigo 40, ambos da Constituição.</w:t>
      </w:r>
    </w:p>
    <w:p w14:paraId="7361F173" w14:textId="04660136"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3F74F51" w14:textId="173DE102"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Além disso, também por força do § 12 do artigo 40 da Constituição da República Federativa do Brasil, os princípios gerais que regem o RGPS devem ser aplicados ao RPPS, como é o caso da irredutibilidade no valor dos benefícios presente no inciso IV do parágrafo único do artigo 194 da Constituição da República Federativa do Brasil:</w:t>
      </w:r>
    </w:p>
    <w:p w14:paraId="33348CE3" w14:textId="4EF10830"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4CC9F4E" w14:textId="3979AB26"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Art. 194. A seguridade social compreende um conjunto integrado de ações de iniciativa dos Poderes Públicos e da sociedade, destinadas a assegurar os direitos relativos à saúde, à previdência e à assistência social. Parágrafo único. Compete ao Poder Público, nos termos da lei, organizar a seguridade social, com base nos seguintes objetivos: (...) IV - irredutibilidade do valor dos benefícios; </w:t>
      </w:r>
    </w:p>
    <w:p w14:paraId="3E53F1DE" w14:textId="5680656D"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632FA35" w14:textId="68D9D0E1"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 doutrina estabelece que o entendimento é que o valor nominal não pode ser reduzido, para não haver a depreciação do benefício:</w:t>
      </w:r>
    </w:p>
    <w:p w14:paraId="4DE7F09A" w14:textId="52A16DEF"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ECAD024" w14:textId="3D32E11D"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Não há, pois, como se prestigiar soluções infraconstitucionais que levem à depreciação do valor dos benefícios, não havendo como se possibilitar a sua redução nominal. Entenda-se como tal toda aquela situação que possibilite a depreciação do valor real de compra dos benefícios. </w:t>
      </w:r>
    </w:p>
    <w:p w14:paraId="45FC19C5" w14:textId="09419B6F"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BB604B9" w14:textId="65776E0D"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Dessa forma, o servidor possui o direito do recebimento cumulativo das duas parcelas e o contrário fere diversos princípios e direitos constitucionais, como o direito adquirido, a coisa julgada, a decadência, a irredutibilidade de vencimentos e, devido a isso, é que a cumulação das parcelas não pode ser negada aos servidores.</w:t>
      </w:r>
    </w:p>
    <w:p w14:paraId="6C5D8D45" w14:textId="5CC4020F"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55448D8" w14:textId="6574FA3D" w:rsidR="0FF5D67C" w:rsidRDefault="0FF5D67C" w:rsidP="6E1B75D1">
      <w:pPr>
        <w:spacing w:after="0" w:line="240" w:lineRule="auto"/>
        <w:jc w:val="both"/>
        <w:rPr>
          <w:rFonts w:ascii="Times New Roman" w:hAnsi="Times New Roman"/>
          <w:b/>
          <w:bCs/>
          <w:sz w:val="26"/>
          <w:szCs w:val="26"/>
        </w:rPr>
      </w:pPr>
      <w:r w:rsidRPr="23C96B68">
        <w:rPr>
          <w:rFonts w:ascii="Times New Roman" w:hAnsi="Times New Roman"/>
          <w:b/>
          <w:bCs/>
          <w:sz w:val="26"/>
          <w:szCs w:val="26"/>
        </w:rPr>
        <w:t>2.</w:t>
      </w:r>
      <w:r w:rsidR="22E737FA" w:rsidRPr="23C96B68">
        <w:rPr>
          <w:rFonts w:ascii="Times New Roman" w:hAnsi="Times New Roman"/>
          <w:b/>
          <w:bCs/>
          <w:sz w:val="26"/>
          <w:szCs w:val="26"/>
        </w:rPr>
        <w:t>9.</w:t>
      </w:r>
      <w:r w:rsidRPr="23C96B68">
        <w:rPr>
          <w:rFonts w:ascii="Times New Roman" w:hAnsi="Times New Roman"/>
          <w:b/>
          <w:bCs/>
          <w:sz w:val="26"/>
          <w:szCs w:val="26"/>
        </w:rPr>
        <w:t xml:space="preserve"> </w:t>
      </w:r>
      <w:r w:rsidRPr="23C96B68">
        <w:rPr>
          <w:rFonts w:ascii="Times New Roman" w:hAnsi="Times New Roman"/>
          <w:b/>
          <w:bCs/>
          <w:sz w:val="26"/>
          <w:szCs w:val="26"/>
          <w:u w:val="single"/>
        </w:rPr>
        <w:t>Desrespeito ao caráter contributivo</w:t>
      </w:r>
    </w:p>
    <w:p w14:paraId="455F9DBE" w14:textId="264E84C0"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D9E5B7C" w14:textId="12245742"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lastRenderedPageBreak/>
        <w:t>Deve-se observar ainda que, no que se refere aos futuros proventos, conforme entendimento recente do Supremo Tribunal Federal no Recurso Extraordinário 593.068, há contribuição previdenciária apenas sobre as parcelas que se incorporam à aposentadoria e, como no presente caso houve o desconto sobre ambas as parcelas, ambas devem ter repercussão sobre os proventos:</w:t>
      </w:r>
    </w:p>
    <w:p w14:paraId="02A9A0B2" w14:textId="3EEAB421"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A955C64" w14:textId="3C7B672B"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DIREITO PREVIDENCIÁRIO. </w:t>
      </w:r>
      <w:r w:rsidRPr="6E1B75D1">
        <w:rPr>
          <w:rFonts w:ascii="Times New Roman" w:hAnsi="Times New Roman"/>
          <w:b/>
          <w:bCs/>
        </w:rPr>
        <w:t>RECURSO EXTRAORDINÁRIO COM REPERCUSSÃO GERAL.</w:t>
      </w:r>
      <w:r w:rsidRPr="6E1B75D1">
        <w:rPr>
          <w:rFonts w:ascii="Times New Roman" w:hAnsi="Times New Roman"/>
        </w:rPr>
        <w:t xml:space="preserve"> REGIME PRÓPRIO DOS SERVIDORES PÚBLICOS. </w:t>
      </w:r>
      <w:r w:rsidRPr="6E1B75D1">
        <w:rPr>
          <w:rFonts w:ascii="Times New Roman" w:hAnsi="Times New Roman"/>
          <w:b/>
          <w:bCs/>
        </w:rPr>
        <w:t>NÃO INCIDÊNCIA DE CONTRIBUIÇÕES PREVIDENCIÁRIAS SOBRE PARCELAS NÃO INCORPORÁVEIS À APOSENTADORIA.</w:t>
      </w:r>
      <w:r w:rsidRPr="6E1B75D1">
        <w:rPr>
          <w:rFonts w:ascii="Times New Roman" w:hAnsi="Times New Roman"/>
        </w:rPr>
        <w:t xml:space="preserve"> (...)</w:t>
      </w:r>
    </w:p>
    <w:p w14:paraId="240E3A8F" w14:textId="4E8DE39F" w:rsidR="0FF5D67C" w:rsidRDefault="0FF5D67C" w:rsidP="6E1B75D1">
      <w:pPr>
        <w:spacing w:after="0" w:line="240" w:lineRule="auto"/>
        <w:ind w:left="1701"/>
        <w:jc w:val="both"/>
        <w:rPr>
          <w:rFonts w:ascii="Times New Roman" w:hAnsi="Times New Roman"/>
          <w:b/>
          <w:bCs/>
        </w:rPr>
      </w:pPr>
      <w:r w:rsidRPr="6E1B75D1">
        <w:rPr>
          <w:rFonts w:ascii="Times New Roman" w:hAnsi="Times New Roman"/>
          <w:b/>
          <w:bCs/>
        </w:rPr>
        <w:t xml:space="preserve">3. Ademais, a dimensão contributiva do sistema é incompatível com a cobrança de contribuição previdenciária sem que se confira ao segurado qualquer benefício, efetivo ou potencial. </w:t>
      </w:r>
    </w:p>
    <w:p w14:paraId="4C66BBB2" w14:textId="5D2C449E"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4. Por fim, não é possível invocar o princípio da solidariedade para inovar no tocante à regra que estabelece a base econômica do tributo. </w:t>
      </w:r>
    </w:p>
    <w:p w14:paraId="6046FEF4" w14:textId="4D37B5F1"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5. À luz das premissas estabelecidas, é fixada em repercussão geral a seguinte </w:t>
      </w:r>
      <w:r w:rsidRPr="6E1B75D1">
        <w:rPr>
          <w:rFonts w:ascii="Times New Roman" w:hAnsi="Times New Roman"/>
          <w:b/>
          <w:bCs/>
        </w:rPr>
        <w:t>tese: “</w:t>
      </w:r>
      <w:r w:rsidRPr="6E1B75D1">
        <w:rPr>
          <w:rFonts w:ascii="Times New Roman" w:hAnsi="Times New Roman"/>
          <w:b/>
          <w:bCs/>
          <w:i/>
          <w:iCs/>
        </w:rPr>
        <w:t>Não incide contribuição previdenciária sobre verba não incorporável aos proventos de aposentadoria do servidor público, tais como ‘terço de férias’, ‘serviços extraordinários’, ‘adicional noturno’ e ‘adicional de insalubridade.</w:t>
      </w:r>
      <w:r w:rsidRPr="6E1B75D1">
        <w:rPr>
          <w:rFonts w:ascii="Times New Roman" w:hAnsi="Times New Roman"/>
        </w:rPr>
        <w:t>” 6. Provimento parcial do recurso extraordinário, para determinar a restituição das parcelas não prescritas. (grifou-se)</w:t>
      </w:r>
    </w:p>
    <w:p w14:paraId="165D5C4B" w14:textId="0131E251"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EE704BA" w14:textId="5CFC0807"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Com efeito, </w:t>
      </w:r>
      <w:r w:rsidRPr="6E1B75D1">
        <w:rPr>
          <w:rFonts w:ascii="Times New Roman" w:hAnsi="Times New Roman"/>
          <w:b/>
          <w:bCs/>
          <w:sz w:val="26"/>
          <w:szCs w:val="26"/>
        </w:rPr>
        <w:t>se houve a incidência de contribuição previdenciária sobre ambas as parcelas, deve haver a incorporação aos proventos de aposentadoria</w:t>
      </w:r>
      <w:r w:rsidRPr="6E1B75D1">
        <w:rPr>
          <w:rFonts w:ascii="Times New Roman" w:hAnsi="Times New Roman"/>
          <w:sz w:val="26"/>
          <w:szCs w:val="26"/>
        </w:rPr>
        <w:t>, devido ao caráter contributivo do regime previdenciário. Bem por isso que, em seu voto, o relator destacou que a não incidência da contribuição previdenciária sobre verbas não incorporáveis aos proventos se dá devido ao caráter contributivo do sistema previdenciário, já que se faz necessária a contraprestação efetiva ou potencial:</w:t>
      </w:r>
    </w:p>
    <w:p w14:paraId="755A6956" w14:textId="36EB19E2"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98AF65A" w14:textId="32824156"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 Assim, o caráter solidário do sistema afasta a existência de uma simetria perfeita entre contribuição e benefício (como em um sinalagma), enquanto a natureza contributiva </w:t>
      </w:r>
      <w:r w:rsidRPr="6E1B75D1">
        <w:rPr>
          <w:rFonts w:ascii="Times New Roman" w:hAnsi="Times New Roman"/>
          <w:b/>
          <w:bCs/>
        </w:rPr>
        <w:t xml:space="preserve">impede a cobrança de contribuição previdenciária sem que se confira ao segurado qualquer contraprestação, efetiva ou potencial </w:t>
      </w:r>
      <w:r w:rsidRPr="6E1B75D1">
        <w:rPr>
          <w:rFonts w:ascii="Times New Roman" w:hAnsi="Times New Roman"/>
        </w:rPr>
        <w:t>(grifou-se)</w:t>
      </w:r>
    </w:p>
    <w:p w14:paraId="20153B14" w14:textId="5AA614E6"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E569E5A" w14:textId="606BA469"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 propósito, no que tange à VPNI de quintos, o próprio TCU reconhece que essa, posteriormente, incorpora-se definitivamente ao patrimônio dos servidores, compondo, em razão disso, os proventos de aposentadoria, valores sobre os quais incidiu a devida contribuição, entendimento que também prepondera no STF e STJ:</w:t>
      </w:r>
    </w:p>
    <w:p w14:paraId="7AB51C65" w14:textId="5E3AEAD2"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DE8A93C" w14:textId="4EC8D0E4"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 23. É que a aludida parcela de VPNI, </w:t>
      </w:r>
      <w:r w:rsidRPr="6E1B75D1">
        <w:rPr>
          <w:rFonts w:ascii="Times New Roman" w:hAnsi="Times New Roman"/>
          <w:b/>
          <w:bCs/>
        </w:rPr>
        <w:t xml:space="preserve">diferentemente das funções comissionadas (de natureza transitória, somente percebida durante o exercício da função), se incorpora definitivamente ao patrimônio do servidor, compondo, em razão disso, os proventos da sua aposentadoria ou </w:t>
      </w:r>
      <w:r w:rsidRPr="6E1B75D1">
        <w:rPr>
          <w:rFonts w:ascii="Times New Roman" w:hAnsi="Times New Roman"/>
          <w:b/>
          <w:bCs/>
        </w:rPr>
        <w:lastRenderedPageBreak/>
        <w:t>da pensão por ele instituída, no caso de morte.</w:t>
      </w:r>
      <w:r w:rsidRPr="6E1B75D1">
        <w:rPr>
          <w:rFonts w:ascii="Times New Roman" w:hAnsi="Times New Roman"/>
        </w:rPr>
        <w:t xml:space="preserve"> Portanto, sobre tal parcela é devida a contribuição previdenciária, quer na vigência das Emendas Constitucionais ns. 20/1998 e 41/2003, quer antes dessas Emendas Constitucionais. (...)</w:t>
      </w:r>
    </w:p>
    <w:p w14:paraId="7C254C1B" w14:textId="1AF408B5" w:rsidR="0FF5D67C" w:rsidRDefault="0FF5D67C" w:rsidP="6E1B75D1">
      <w:pPr>
        <w:spacing w:after="0" w:line="240" w:lineRule="auto"/>
        <w:ind w:left="1701"/>
        <w:jc w:val="both"/>
        <w:rPr>
          <w:rFonts w:ascii="Times New Roman" w:hAnsi="Times New Roman"/>
        </w:rPr>
      </w:pPr>
      <w:r w:rsidRPr="6E1B75D1">
        <w:rPr>
          <w:rFonts w:ascii="Times New Roman" w:hAnsi="Times New Roman"/>
        </w:rPr>
        <w:t>34. (...) Ou seja, o STF, a contrário senso, dispôs que, se a vantagem for incorporável ao vencimento para cálculo dos proventos da aposentadoria ou para instituição de pensão, como o é a vantagem denominada VPNI, a incidência da contribuição previdenciária é devida, sendo, pois, legítimo o seu desconto. (...)</w:t>
      </w:r>
    </w:p>
    <w:p w14:paraId="440978D0" w14:textId="299EA498" w:rsidR="0FF5D67C" w:rsidRDefault="0FF5D67C" w:rsidP="6E1B75D1">
      <w:pPr>
        <w:spacing w:after="0" w:line="240" w:lineRule="auto"/>
        <w:ind w:left="1701"/>
        <w:jc w:val="both"/>
        <w:rPr>
          <w:rFonts w:ascii="Times New Roman" w:hAnsi="Times New Roman"/>
        </w:rPr>
      </w:pPr>
      <w:r w:rsidRPr="6E1B75D1">
        <w:rPr>
          <w:rFonts w:ascii="Times New Roman" w:hAnsi="Times New Roman"/>
        </w:rPr>
        <w:t>(Processo 021.314/2007-1. Plenário do Tribunal de Contas da União, Acórdão 1.286/2008, Rel. Min. Marcos Bemquerer Costa, j. 02/07/2008)</w:t>
      </w:r>
    </w:p>
    <w:p w14:paraId="3BC65F94" w14:textId="4612ED61"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27E37DD" w14:textId="066B8126"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Dessa forma, a contribuição efetivada sobre a VPNI, durante duas décadas, exige sua incorporação à aposentadoria e a manutenção do seu pagamento. O mesmo se dá por força do artigo 16 da Lei 11.416/2006 (que prevê a GAE), sob o enfoque do previsto no artigo 28 da mesma lei (que prevê sua incorporação na aposentadoria), e ainda o disposto no artigo 4º, do Anexo II, da Portaria Conjunta nº 1/2007 (que prevê contribuição previdenciária sobre a GAE e sua incorporação).</w:t>
      </w:r>
    </w:p>
    <w:p w14:paraId="656305C7" w14:textId="74538E16"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59B58C0" w14:textId="22850FA0" w:rsidR="0FF5D67C" w:rsidRDefault="0FF5D67C" w:rsidP="6E1B75D1">
      <w:pPr>
        <w:spacing w:after="0" w:line="240" w:lineRule="auto"/>
        <w:jc w:val="both"/>
        <w:rPr>
          <w:rFonts w:ascii="Times New Roman" w:hAnsi="Times New Roman"/>
          <w:b/>
          <w:bCs/>
          <w:sz w:val="26"/>
          <w:szCs w:val="26"/>
        </w:rPr>
      </w:pPr>
      <w:r w:rsidRPr="23C96B68">
        <w:rPr>
          <w:rFonts w:ascii="Times New Roman" w:hAnsi="Times New Roman"/>
          <w:b/>
          <w:bCs/>
          <w:sz w:val="26"/>
          <w:szCs w:val="26"/>
        </w:rPr>
        <w:t>2.</w:t>
      </w:r>
      <w:r w:rsidR="7D97C10C" w:rsidRPr="23C96B68">
        <w:rPr>
          <w:rFonts w:ascii="Times New Roman" w:hAnsi="Times New Roman"/>
          <w:b/>
          <w:bCs/>
          <w:sz w:val="26"/>
          <w:szCs w:val="26"/>
        </w:rPr>
        <w:t>10.</w:t>
      </w:r>
      <w:r w:rsidRPr="23C96B68">
        <w:rPr>
          <w:rFonts w:ascii="Times New Roman" w:hAnsi="Times New Roman"/>
          <w:b/>
          <w:bCs/>
          <w:sz w:val="26"/>
          <w:szCs w:val="26"/>
        </w:rPr>
        <w:t xml:space="preserve"> </w:t>
      </w:r>
      <w:r w:rsidRPr="23C96B68">
        <w:rPr>
          <w:rFonts w:ascii="Times New Roman" w:hAnsi="Times New Roman"/>
          <w:b/>
          <w:bCs/>
          <w:sz w:val="26"/>
          <w:szCs w:val="26"/>
          <w:u w:val="single"/>
        </w:rPr>
        <w:t>Da parcela compensatória: vedação à retroatividade e absorção por reajustes futuros – LINDB e posicionamento anterior do TCU</w:t>
      </w:r>
    </w:p>
    <w:p w14:paraId="7C8A1212" w14:textId="652D9A91"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06BC841" w14:textId="0CCE2F8F"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Ainda que não se reconheça a decadência administrativa ou a legalidade da cumulação da GAE com a VPNI de quintos, deve ser levada em consideração a </w:t>
      </w:r>
      <w:r w:rsidRPr="6E1B75D1">
        <w:rPr>
          <w:rFonts w:ascii="Times New Roman" w:hAnsi="Times New Roman"/>
          <w:b/>
          <w:bCs/>
          <w:sz w:val="26"/>
          <w:szCs w:val="26"/>
        </w:rPr>
        <w:t>parcela compensatória</w:t>
      </w:r>
      <w:r w:rsidRPr="6E1B75D1">
        <w:rPr>
          <w:rFonts w:ascii="Times New Roman" w:hAnsi="Times New Roman"/>
          <w:sz w:val="26"/>
          <w:szCs w:val="26"/>
        </w:rPr>
        <w:t xml:space="preserve"> instituída como modo de procedimento do próprio Tribunal de Contas da União, para privilegiar a boa-fé dos servidores que a recebem. </w:t>
      </w:r>
    </w:p>
    <w:p w14:paraId="4BF671E3" w14:textId="10233E9D"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4E09F6A0" w14:textId="24A0F633"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Note-se que, para além da evidente violação à decadência prevista no artigo 54 da Lei 9.784/99, a pretensão de efeitos imediatos do Acórdão 2784/2016/TCU-Plenário afronta artigos da Lei de Introdução às Normas do Direito Brasileiro (LINDB), criadas pela Lei 13.655/2018, especialmente para a situação em análise. </w:t>
      </w:r>
    </w:p>
    <w:p w14:paraId="2F9B7F1F" w14:textId="573CEFE8"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ACA2740" w14:textId="5F1C331D"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Curiosamente, em situações análogas – envolvendo servidores do seu quadro - o TCU usa a LINDB como referência para estabelecer compensação com </w:t>
      </w:r>
      <w:r w:rsidRPr="6E1B75D1">
        <w:rPr>
          <w:rFonts w:ascii="Times New Roman" w:hAnsi="Times New Roman"/>
          <w:b/>
          <w:bCs/>
          <w:sz w:val="26"/>
          <w:szCs w:val="26"/>
        </w:rPr>
        <w:t>reajustes futuros (e sem retroatividade)</w:t>
      </w:r>
      <w:r w:rsidRPr="6E1B75D1">
        <w:rPr>
          <w:rFonts w:ascii="Times New Roman" w:hAnsi="Times New Roman"/>
          <w:sz w:val="26"/>
          <w:szCs w:val="26"/>
        </w:rPr>
        <w:t xml:space="preserve">, privilegiando a segurança-jurídica a boa-fé dos servidores que recebem parcelas com suposto vício de ilegalidade. Um exemplo é o </w:t>
      </w:r>
      <w:r w:rsidRPr="6E1B75D1">
        <w:rPr>
          <w:rFonts w:ascii="Times New Roman" w:hAnsi="Times New Roman"/>
          <w:b/>
          <w:bCs/>
          <w:sz w:val="26"/>
          <w:szCs w:val="26"/>
          <w:u w:val="single"/>
        </w:rPr>
        <w:t>Acórdão nº 2988/2018/TCU-Plenário</w:t>
      </w:r>
      <w:r w:rsidRPr="6E1B75D1">
        <w:rPr>
          <w:rFonts w:ascii="Times New Roman" w:hAnsi="Times New Roman"/>
          <w:sz w:val="26"/>
          <w:szCs w:val="26"/>
        </w:rPr>
        <w:t xml:space="preserve"> (</w:t>
      </w:r>
      <w:r w:rsidRPr="6E1B75D1">
        <w:rPr>
          <w:rFonts w:ascii="Times New Roman" w:hAnsi="Times New Roman"/>
          <w:sz w:val="26"/>
          <w:szCs w:val="26"/>
          <w:highlight w:val="green"/>
        </w:rPr>
        <w:t>anexo</w:t>
      </w:r>
      <w:r w:rsidRPr="6E1B75D1">
        <w:rPr>
          <w:rFonts w:ascii="Times New Roman" w:hAnsi="Times New Roman"/>
          <w:sz w:val="26"/>
          <w:szCs w:val="26"/>
        </w:rPr>
        <w:t>), do qual se destacam os seguintes trechos:</w:t>
      </w:r>
    </w:p>
    <w:p w14:paraId="42A0D18E" w14:textId="05BD157F"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CB0CD98" w14:textId="4864CA2A"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132. </w:t>
      </w:r>
      <w:r w:rsidRPr="6E1B75D1">
        <w:rPr>
          <w:rFonts w:ascii="Times New Roman" w:hAnsi="Times New Roman"/>
          <w:b/>
          <w:bCs/>
        </w:rPr>
        <w:t xml:space="preserve">Em respeito ao princípio da segurança jurídica, proponho que seja assegurado aos servidores que já tiveram seu ato de aposentadoria registrado e cujos proventos são calculados com base na remuneração dos servidores ativos (regra da paridade) a manutenção do pagamento da “opção” sob a forma de vantagem pessoal, a ser absorvida pelos futuros aumentos remuneratórios da categoria e sem prejuízo do pagamento da </w:t>
      </w:r>
      <w:r w:rsidRPr="6E1B75D1">
        <w:rPr>
          <w:rFonts w:ascii="Times New Roman" w:hAnsi="Times New Roman"/>
          <w:b/>
          <w:bCs/>
        </w:rPr>
        <w:lastRenderedPageBreak/>
        <w:t>vantagem prevista no art. 62-A da Lei 8.112/90.</w:t>
      </w:r>
      <w:r w:rsidRPr="6E1B75D1">
        <w:rPr>
          <w:rFonts w:ascii="Times New Roman" w:hAnsi="Times New Roman"/>
        </w:rPr>
        <w:t xml:space="preserve"> (...) 3. Diante disso, em seu voto revisor, o ministro Benjamin Zymler ponderou pela necessidade de modular as perdas, de modo que a extinção de uma das vantagens acumuladas se dê de forma progressiva, a ser equacionada pelos próximos aumentos salariais da carreira dos servidores do TCU, por meio de rubrica pessoal temporária para aqueles que já tiveram os atos de aposentadoria registrados, nos termos da Lei 8.443/1992: referida rubrica reduzirá seu valor a cada vez que o cargo efetivo for beneficiado por aumentos.(...) 29. Com a modulação proposta, evita-se que os servidores, que vêm recebendo os valores da “opção” de boa-fé venham a sofrer uma redução imediata de seus estipêndios, mas não perpetua a irregularidade dos pagamentos. </w:t>
      </w:r>
      <w:r w:rsidRPr="6E1B75D1">
        <w:rPr>
          <w:rFonts w:ascii="Times New Roman" w:hAnsi="Times New Roman"/>
          <w:b/>
          <w:bCs/>
        </w:rPr>
        <w:t>Uma vez que existe uma relação de trato sucessivo, as alterações futuras da estrutura remuneratória deverão absorver o pagamento da parcela considerada irregular.</w:t>
      </w:r>
      <w:r w:rsidRPr="6E1B75D1">
        <w:rPr>
          <w:rFonts w:ascii="Times New Roman" w:hAnsi="Times New Roman"/>
        </w:rPr>
        <w:t xml:space="preserve"> 30. Assim, a modulação proposta busca evitar um impacto imediato nos proventos dos servidores, sem, contudo, perpetuar a ilegalidade que vem sendo cometida, em perfeita consonância com a LINDB e o Decreto-lei 200/1967” (Plenário do Tribunal de Contas da União Acórdão 2.988/2018 Relator: Ministro Benjamin Zymler, julgado em 12.12.2018)</w:t>
      </w:r>
    </w:p>
    <w:p w14:paraId="27C0DE19" w14:textId="5712013C"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4D86317" w14:textId="100751C2"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O referido processo tratou da situação de servidores inativos do próprio TCU, tendo a Corte de Contas decidido pela manutenção do pagamento da VPNI de quintos, sendo a parcela relativa à função comissionada nos termos do artigo 193 da Lei nº 8.112/1990 </w:t>
      </w:r>
      <w:r w:rsidRPr="6E1B75D1">
        <w:rPr>
          <w:rFonts w:ascii="Times New Roman" w:hAnsi="Times New Roman"/>
          <w:b/>
          <w:bCs/>
          <w:sz w:val="26"/>
          <w:szCs w:val="26"/>
        </w:rPr>
        <w:t>absorvida pelos reajustes remuneratórios futuros</w:t>
      </w:r>
      <w:r w:rsidRPr="6E1B75D1">
        <w:rPr>
          <w:rFonts w:ascii="Times New Roman" w:hAnsi="Times New Roman"/>
          <w:sz w:val="26"/>
          <w:szCs w:val="26"/>
        </w:rPr>
        <w:t>.</w:t>
      </w:r>
    </w:p>
    <w:p w14:paraId="04B243CC" w14:textId="1715C567"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12300C1" w14:textId="7B504416"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Como se verifica do mencionado acórdão, o Tribunal de Contas da União, no que se refere a servidores do seu quadro de pessoal, observou a segurança jurídica e </w:t>
      </w:r>
      <w:r w:rsidRPr="6E1B75D1">
        <w:rPr>
          <w:rFonts w:ascii="Times New Roman" w:hAnsi="Times New Roman"/>
          <w:b/>
          <w:bCs/>
          <w:sz w:val="26"/>
          <w:szCs w:val="26"/>
        </w:rPr>
        <w:t>somente determinou absorção da parcela pelos reajustes vindouros</w:t>
      </w:r>
      <w:r w:rsidRPr="6E1B75D1">
        <w:rPr>
          <w:rFonts w:ascii="Times New Roman" w:hAnsi="Times New Roman"/>
          <w:sz w:val="26"/>
          <w:szCs w:val="26"/>
        </w:rPr>
        <w:t>, como não poderia deixar de ser, já que há impropriedade na pretensão de retroagir entendimento para haver compensação com reajustes pretéritos.</w:t>
      </w:r>
    </w:p>
    <w:p w14:paraId="59EE4CAB" w14:textId="5969B2EB"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C3DCE1F" w14:textId="21C47F52"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Contudo, no que tange aos Oficiais de Justiça Avaliadores Federais, o entendimento é diverso e mais gravoso, tendo a Corte orientado os tribunais regionais a </w:t>
      </w:r>
      <w:r w:rsidRPr="6E1B75D1">
        <w:rPr>
          <w:rFonts w:ascii="Times New Roman" w:hAnsi="Times New Roman"/>
          <w:b/>
          <w:bCs/>
          <w:sz w:val="26"/>
          <w:szCs w:val="26"/>
        </w:rPr>
        <w:t>implementarem a absorção de forma retroativa</w:t>
      </w:r>
      <w:r w:rsidRPr="6E1B75D1">
        <w:rPr>
          <w:rFonts w:ascii="Times New Roman" w:hAnsi="Times New Roman"/>
          <w:sz w:val="26"/>
          <w:szCs w:val="26"/>
        </w:rPr>
        <w:t>, conforme sugere o novo procedimento de apuração:</w:t>
      </w:r>
    </w:p>
    <w:p w14:paraId="58CFA181" w14:textId="593282AB"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AE67208" w14:textId="345AE4A7"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 d.3 Então, para se respeitar o princípio da irredutibilidade salarial, a rubrica em análise deve ser convertida em parcela compensatória passível de atualização pelos índices gerais de reajuste aplicáveis às remunerações dos servidores públicos, </w:t>
      </w:r>
      <w:r w:rsidRPr="6E1B75D1">
        <w:rPr>
          <w:rFonts w:ascii="Times New Roman" w:hAnsi="Times New Roman"/>
          <w:b/>
          <w:bCs/>
        </w:rPr>
        <w:t>a ser absorvida por ocasião</w:t>
      </w:r>
      <w:r w:rsidRPr="6E1B75D1">
        <w:rPr>
          <w:rFonts w:ascii="Times New Roman" w:hAnsi="Times New Roman"/>
        </w:rPr>
        <w:t xml:space="preserve">: do desenvolvimento no cargo ou na carreira por progressão ou promoção, ordinária ou extraordinária; da reorganização ou da reestruturação dos cargos e da carreira ou das remunerações; da concessão de reajuste ou vantagem de qualquer natureza. d.4 </w:t>
      </w:r>
      <w:r w:rsidRPr="6E1B75D1">
        <w:rPr>
          <w:rFonts w:ascii="Times New Roman" w:hAnsi="Times New Roman"/>
          <w:b/>
          <w:bCs/>
        </w:rPr>
        <w:t>A compensação deve retroagir aos últimos 5 anos, em observância à decadência administrativa. Eventuais aumentos salariais ocorridos nesse período devem promover a correspondente redução das referidas parcelas irregulares, até a sua completa extinção.</w:t>
      </w:r>
      <w:r w:rsidRPr="6E1B75D1">
        <w:rPr>
          <w:rFonts w:ascii="Times New Roman" w:hAnsi="Times New Roman"/>
        </w:rPr>
        <w:t xml:space="preserve"> (grifou-se)</w:t>
      </w:r>
    </w:p>
    <w:p w14:paraId="107145B5" w14:textId="71683803"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40B3E81" w14:textId="4D4A40DD"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Ora, ao criar esse novo entendimento da parcela compensatória, o TCU determinou que a compensação deve retroagir 5 (cinco) anos abarcando os </w:t>
      </w:r>
      <w:r w:rsidRPr="6E1B75D1">
        <w:rPr>
          <w:rFonts w:ascii="Times New Roman" w:hAnsi="Times New Roman"/>
          <w:sz w:val="26"/>
          <w:szCs w:val="26"/>
        </w:rPr>
        <w:lastRenderedPageBreak/>
        <w:t xml:space="preserve">reajustes anteriores, violando, além da isonomia com os demais servidores (já que para o seu quadro de pessoal a compensação é futura), o artigo 24 da Lei de Introdução às normas de Direito Brasileiro – LINDB, </w:t>
      </w:r>
      <w:r w:rsidRPr="6E1B75D1">
        <w:rPr>
          <w:rFonts w:ascii="Times New Roman" w:hAnsi="Times New Roman"/>
          <w:b/>
          <w:bCs/>
          <w:sz w:val="26"/>
          <w:szCs w:val="26"/>
        </w:rPr>
        <w:t>pois não é possível a aplicação de revisão controladora em que se considera ilegal situação plenamente constituída</w:t>
      </w:r>
      <w:r w:rsidRPr="6E1B75D1">
        <w:rPr>
          <w:rFonts w:ascii="Times New Roman" w:hAnsi="Times New Roman"/>
          <w:sz w:val="26"/>
          <w:szCs w:val="26"/>
        </w:rPr>
        <w:t>:</w:t>
      </w:r>
    </w:p>
    <w:p w14:paraId="23EF36C3" w14:textId="77658E5F"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370451C" w14:textId="75A5A457"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Art. 24.  </w:t>
      </w:r>
      <w:r w:rsidRPr="6E1B75D1">
        <w:rPr>
          <w:rFonts w:ascii="Times New Roman" w:hAnsi="Times New Roman"/>
          <w:b/>
          <w:bCs/>
        </w:rPr>
        <w:t>A revisão, nas esferas administrativa, controladora</w:t>
      </w:r>
      <w:r w:rsidRPr="6E1B75D1">
        <w:rPr>
          <w:rFonts w:ascii="Times New Roman" w:hAnsi="Times New Roman"/>
        </w:rPr>
        <w:t xml:space="preserve"> ou judicial, quanto à validade de ato, contrato, ajuste, processo ou norma administrativa cuja produção já se houver completado levará em conta as orientações gerais da época, </w:t>
      </w:r>
      <w:r w:rsidRPr="6E1B75D1">
        <w:rPr>
          <w:rFonts w:ascii="Times New Roman" w:hAnsi="Times New Roman"/>
          <w:b/>
          <w:bCs/>
        </w:rPr>
        <w:t>sendo vedado que, com base em mudança posterior de orientação geral, se declarem inválidas situações plenamente constituídas.</w:t>
      </w:r>
      <w:r w:rsidRPr="6E1B75D1">
        <w:rPr>
          <w:rFonts w:ascii="Times New Roman" w:hAnsi="Times New Roman"/>
        </w:rPr>
        <w:t xml:space="preserve"> (grifou-se)</w:t>
      </w:r>
    </w:p>
    <w:p w14:paraId="60A3BF97" w14:textId="1FC94FE9"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E1F1A48" w14:textId="554726C7"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Também é violado o artigo 23 da referida norma, pois o corte abrupto aplica nova interpretação sem prever qualquer regime de transição ou proteger aqueles que já haviam preenchido os requisitos para percepção das parcelas:</w:t>
      </w:r>
    </w:p>
    <w:p w14:paraId="07FD29FA" w14:textId="7439002F"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58E2070" w14:textId="26FD5D81" w:rsidR="0FF5D67C" w:rsidRDefault="0FF5D67C" w:rsidP="6E1B75D1">
      <w:pPr>
        <w:spacing w:after="0" w:line="240" w:lineRule="auto"/>
        <w:ind w:left="1701"/>
        <w:jc w:val="both"/>
        <w:rPr>
          <w:rFonts w:ascii="Times New Roman" w:hAnsi="Times New Roman"/>
        </w:rPr>
      </w:pPr>
      <w:r w:rsidRPr="6E1B75D1">
        <w:rPr>
          <w:rFonts w:ascii="Times New Roman" w:hAnsi="Times New Roman"/>
        </w:rPr>
        <w:t>Art. 23.  A decisão administrativa, controladora ou judicial que estabelecer interpretação ou orientação nova sobre norma de conteúdo indeterminado, impondo novo dever ou novo condicionamento de direito, deverá prever regime de transição quando indispensável para que o novo dever ou condicionamento de direito seja cumprido de modo proporcional, equânime e eficiente e sem prejuízo aos interesses gerais.</w:t>
      </w:r>
    </w:p>
    <w:p w14:paraId="06E5C613" w14:textId="639A96C7"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EB84439" w14:textId="33193240"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Dessa forma, não pode o Tribunal de Contas da União instituir uma nova maneira de proceder que retroage 5 anos e altera situações válidas plenamente constituídas em que os servidores possuíam a boa-fé no recebimento das rubricas alimentares, bem como dos reajustes e outras parcelas que erroneamente serão compensados retroativamente.</w:t>
      </w:r>
    </w:p>
    <w:p w14:paraId="51661115" w14:textId="1CA5AC73"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F7812F0" w14:textId="2008C933"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 impossibilidade de os efeitos retroagirem também se coaduna com o recente julgamento dos Embargos de Declaração no Recurso Extraordinário nº 638.115, no qual o Supremo entendeu ser indevida a cessação imediata do pagamento de quintos, garantindo a modulação a fim de que a parcela seja mantida até a absorção por reajustes futuros:</w:t>
      </w:r>
    </w:p>
    <w:p w14:paraId="48EC69A9" w14:textId="74D66FE8"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72CD4B5" w14:textId="5A310F09" w:rsidR="0FF5D67C" w:rsidRDefault="0FF5D67C" w:rsidP="6E1B75D1">
      <w:pPr>
        <w:spacing w:after="0" w:line="240" w:lineRule="auto"/>
        <w:ind w:left="1701"/>
        <w:jc w:val="both"/>
        <w:rPr>
          <w:rFonts w:ascii="Times New Roman" w:hAnsi="Times New Roman"/>
        </w:rPr>
      </w:pPr>
      <w:r w:rsidRPr="6E1B75D1">
        <w:rPr>
          <w:rFonts w:ascii="Times New Roman" w:hAnsi="Times New Roman"/>
        </w:rPr>
        <w:t xml:space="preserve">O Tribunal, por maioria, acolheu parcialmente os embargos de declaração, com efeitos infringentes, para reconhecer indevida a cessação imediata do pagamento dos quintos quando fundado em decisão judicial transitada em julgado, vencida a Ministra Rosa Weber, que rejeitava os embargos. No ponto relativo ao </w:t>
      </w:r>
      <w:r w:rsidRPr="6E1B75D1">
        <w:rPr>
          <w:rFonts w:ascii="Times New Roman" w:hAnsi="Times New Roman"/>
          <w:b/>
          <w:bCs/>
        </w:rPr>
        <w:t>recebimento dos quintos em virtude de decisões administrativas</w:t>
      </w:r>
      <w:r w:rsidRPr="6E1B75D1">
        <w:rPr>
          <w:rFonts w:ascii="Times New Roman" w:hAnsi="Times New Roman"/>
        </w:rPr>
        <w:t xml:space="preserve">, o Tribunal, em razão de voto médio, rejeitou os embargos e, reconhecendo a ilegitimidade do pagamento dos quintos, </w:t>
      </w:r>
      <w:r w:rsidRPr="6E1B75D1">
        <w:rPr>
          <w:rFonts w:ascii="Times New Roman" w:hAnsi="Times New Roman"/>
          <w:b/>
          <w:bCs/>
        </w:rPr>
        <w:t>modulou os efeitos da decisão de modo que aqueles que continuam recebendo até a presente data em razão de decisão administrativa tenham o pagamento mantido até sua absorção integral por quaisquer reajustes futuros concedidos aos servidores.</w:t>
      </w:r>
      <w:r w:rsidRPr="6E1B75D1">
        <w:rPr>
          <w:rFonts w:ascii="Times New Roman" w:hAnsi="Times New Roman"/>
        </w:rPr>
        <w:t xml:space="preserve"> Os Ministros Ricardo Lewandowski e Celso de Mello proviam os embargos de declaração e modulavam os efeitos da decisão em maior extensão. Ficaram vencidos, nesse </w:t>
      </w:r>
      <w:r w:rsidRPr="6E1B75D1">
        <w:rPr>
          <w:rFonts w:ascii="Times New Roman" w:hAnsi="Times New Roman"/>
        </w:rPr>
        <w:lastRenderedPageBreak/>
        <w:t>ponto, os Ministros Marco Aurélio e Rosa Weber. Por fim,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vencidos os Ministros Marco Aurélio e Rosa Weber. Tudo nos termos do voto do Relator. Afirmaram suspeição os Ministros Luiz Fux e Roberto Barroso. (grifou-se)</w:t>
      </w:r>
    </w:p>
    <w:p w14:paraId="75BD69CF" w14:textId="7B212CDF"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B856721" w14:textId="61F23B2A"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Conforme se vê, o entendimento é de que as decisões judiciais transitadas em julgado antes da publicação do acórdão do RE 638.115 devem manter-se incólumes. O acórdão, inclusive, admitiu a modulação dos efeitos da decisão para aqueles que continuam recebendo os quintos em razão de decisão administrativa, a fim de que tenham o pagamento mantido </w:t>
      </w:r>
      <w:r w:rsidRPr="6E1B75D1">
        <w:rPr>
          <w:rFonts w:ascii="Times New Roman" w:hAnsi="Times New Roman"/>
          <w:b/>
          <w:bCs/>
          <w:sz w:val="26"/>
          <w:szCs w:val="26"/>
        </w:rPr>
        <w:t>até a sua absorção integral por quaisquer reajustes futuros concedidos.</w:t>
      </w:r>
    </w:p>
    <w:p w14:paraId="3CBD990A" w14:textId="0075F349"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4666C29" w14:textId="2C9857CD"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Além disso, é imprescindível observar que o próprio Tribunal de Contas da União vem demonstrando sinais de que, mesmo que considere ilegal a acumulação das parcelas, a compensação deverá ocorrer </w:t>
      </w:r>
      <w:r w:rsidRPr="6E1B75D1">
        <w:rPr>
          <w:rFonts w:ascii="Times New Roman" w:hAnsi="Times New Roman"/>
          <w:b/>
          <w:bCs/>
          <w:sz w:val="26"/>
          <w:szCs w:val="26"/>
        </w:rPr>
        <w:t>apenas pelos reajustes futuros</w:t>
      </w:r>
      <w:r w:rsidRPr="6E1B75D1">
        <w:rPr>
          <w:rFonts w:ascii="Times New Roman" w:hAnsi="Times New Roman"/>
          <w:sz w:val="26"/>
          <w:szCs w:val="26"/>
        </w:rPr>
        <w:t xml:space="preserve">, e não retroagir aos reajustes concedidos nos últimos 5 anos, como vem fazendo </w:t>
      </w:r>
      <w:r w:rsidR="3BB66975" w:rsidRPr="6E1B75D1">
        <w:rPr>
          <w:rFonts w:ascii="Times New Roman" w:hAnsi="Times New Roman"/>
          <w:sz w:val="26"/>
          <w:szCs w:val="26"/>
        </w:rPr>
        <w:t>esta Seção Judiciária</w:t>
      </w:r>
      <w:r w:rsidRPr="6E1B75D1">
        <w:rPr>
          <w:rFonts w:ascii="Times New Roman" w:hAnsi="Times New Roman"/>
          <w:sz w:val="26"/>
          <w:szCs w:val="26"/>
        </w:rPr>
        <w:t xml:space="preserve">. </w:t>
      </w:r>
    </w:p>
    <w:p w14:paraId="70A1D16D" w14:textId="51CE1633"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4F601E9" w14:textId="349BA002"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Como já anteriormente informado, recentemente o Ministério Público do Tribunal de Contas da União apresentou parecer nos autos do processo de representação nº 036.450/2020-0, evidenciando que a Corte de Contas deve aplicar isonomia (inclusive com outros casos similares julgados, a exemplo do Acórdão 2602/2013/TCU-Plenário) entre ativos e inativos e adotar a transformação da VPNI em parcela compensatória, </w:t>
      </w:r>
      <w:r w:rsidRPr="6E1B75D1">
        <w:rPr>
          <w:rFonts w:ascii="Times New Roman" w:hAnsi="Times New Roman"/>
          <w:b/>
          <w:bCs/>
          <w:sz w:val="26"/>
          <w:szCs w:val="26"/>
        </w:rPr>
        <w:t xml:space="preserve">a ser absorvida por reajustes futuros </w:t>
      </w:r>
      <w:r w:rsidRPr="6E1B75D1">
        <w:rPr>
          <w:rFonts w:ascii="Times New Roman" w:hAnsi="Times New Roman"/>
          <w:sz w:val="26"/>
          <w:szCs w:val="26"/>
        </w:rPr>
        <w:t>(sem retroatividade ou redução remuneratória)</w:t>
      </w:r>
    </w:p>
    <w:p w14:paraId="79F3AD4F" w14:textId="4701380D"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99E282B" w14:textId="12573AC1" w:rsidR="0FF5D67C" w:rsidRDefault="0FF5D67C"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Nesse mesmo sentido, observa-se </w:t>
      </w:r>
      <w:r w:rsidR="633955EA" w:rsidRPr="6E1B75D1">
        <w:rPr>
          <w:rFonts w:ascii="Times New Roman" w:hAnsi="Times New Roman"/>
          <w:sz w:val="26"/>
          <w:szCs w:val="26"/>
        </w:rPr>
        <w:t>a já citada</w:t>
      </w:r>
      <w:r w:rsidRPr="6E1B75D1">
        <w:rPr>
          <w:rFonts w:ascii="Times New Roman" w:hAnsi="Times New Roman"/>
          <w:sz w:val="26"/>
          <w:szCs w:val="26"/>
        </w:rPr>
        <w:t xml:space="preserve"> orientação emitida pelo TCU em resposta à consulta da Supervisora da Seção de Aposentadorias e Pensões do TRF-5 que, na análise do Acordão 2784/2016/TCU-Plenário, questionou sobre como deveria proceder, dadas as informações contraditórias derivadas, objeto de vários desdobramentos e decisões (administrativas e judiciais), inclusive na Corte de Contas.</w:t>
      </w:r>
    </w:p>
    <w:p w14:paraId="13500211" w14:textId="049105F5" w:rsidR="6E1B75D1" w:rsidRDefault="6E1B75D1" w:rsidP="6E1B75D1">
      <w:pPr>
        <w:spacing w:after="0" w:line="240" w:lineRule="auto"/>
        <w:ind w:firstLine="1701"/>
        <w:jc w:val="both"/>
        <w:rPr>
          <w:rFonts w:ascii="Times New Roman" w:hAnsi="Times New Roman"/>
          <w:sz w:val="26"/>
          <w:szCs w:val="26"/>
        </w:rPr>
      </w:pPr>
    </w:p>
    <w:p w14:paraId="481ADA38" w14:textId="6B98B99B" w:rsidR="53472ADB" w:rsidRDefault="53472ADB"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Assim também é a recente decisão do Tribunal Regional do Tra</w:t>
      </w:r>
      <w:r w:rsidRPr="6E1B75D1">
        <w:rPr>
          <w:rFonts w:ascii="Times New Roman" w:hAnsi="Times New Roman"/>
        </w:rPr>
        <w:t>balho da 14ª</w:t>
      </w:r>
      <w:r w:rsidRPr="6E1B75D1">
        <w:rPr>
          <w:rFonts w:ascii="Times New Roman" w:hAnsi="Times New Roman"/>
          <w:sz w:val="26"/>
          <w:szCs w:val="26"/>
        </w:rPr>
        <w:t xml:space="preserve"> Região </w:t>
      </w:r>
      <w:r w:rsidR="5CD9EFE4" w:rsidRPr="6E1B75D1">
        <w:rPr>
          <w:rFonts w:ascii="Times New Roman" w:hAnsi="Times New Roman"/>
          <w:sz w:val="26"/>
          <w:szCs w:val="26"/>
        </w:rPr>
        <w:t xml:space="preserve">no </w:t>
      </w:r>
      <w:r w:rsidR="5CD9EFE4" w:rsidRPr="6E1B75D1">
        <w:rPr>
          <w:rFonts w:ascii="Times New Roman" w:eastAsia="Times New Roman" w:hAnsi="Times New Roman"/>
          <w:sz w:val="26"/>
          <w:szCs w:val="26"/>
        </w:rPr>
        <w:t>PROAD 1699/2021 (</w:t>
      </w:r>
      <w:r w:rsidR="5CD9EFE4" w:rsidRPr="6E1B75D1">
        <w:rPr>
          <w:rFonts w:ascii="Times New Roman" w:eastAsia="Times New Roman" w:hAnsi="Times New Roman"/>
          <w:sz w:val="26"/>
          <w:szCs w:val="26"/>
          <w:highlight w:val="green"/>
        </w:rPr>
        <w:t>anexa</w:t>
      </w:r>
      <w:r w:rsidR="5CD9EFE4" w:rsidRPr="6E1B75D1">
        <w:rPr>
          <w:rFonts w:ascii="Times New Roman" w:eastAsia="Times New Roman" w:hAnsi="Times New Roman"/>
          <w:sz w:val="26"/>
          <w:szCs w:val="26"/>
        </w:rPr>
        <w:t xml:space="preserve">) </w:t>
      </w:r>
      <w:r w:rsidRPr="6E1B75D1">
        <w:rPr>
          <w:rFonts w:ascii="Times New Roman" w:hAnsi="Times New Roman"/>
          <w:sz w:val="26"/>
          <w:szCs w:val="26"/>
        </w:rPr>
        <w:t xml:space="preserve">que </w:t>
      </w:r>
    </w:p>
    <w:p w14:paraId="2B9CF157" w14:textId="07E89BA5" w:rsidR="6E1B75D1" w:rsidRDefault="6E1B75D1" w:rsidP="6E1B75D1">
      <w:pPr>
        <w:spacing w:after="0" w:line="240" w:lineRule="auto"/>
        <w:ind w:firstLine="1701"/>
        <w:jc w:val="both"/>
        <w:rPr>
          <w:rFonts w:ascii="Times New Roman" w:hAnsi="Times New Roman"/>
          <w:sz w:val="26"/>
          <w:szCs w:val="26"/>
        </w:rPr>
      </w:pPr>
    </w:p>
    <w:p w14:paraId="5703977F" w14:textId="7341DB28" w:rsidR="42D34FC3" w:rsidRDefault="42D34FC3" w:rsidP="6E1B75D1">
      <w:pPr>
        <w:spacing w:after="0" w:line="240" w:lineRule="auto"/>
        <w:ind w:left="1701"/>
        <w:jc w:val="both"/>
        <w:rPr>
          <w:rFonts w:ascii="Times New Roman" w:eastAsia="Times New Roman" w:hAnsi="Times New Roman"/>
        </w:rPr>
      </w:pPr>
      <w:r w:rsidRPr="6E1B75D1">
        <w:rPr>
          <w:rFonts w:ascii="Times New Roman" w:hAnsi="Times New Roman"/>
        </w:rPr>
        <w:t>[...]</w:t>
      </w:r>
      <w:r w:rsidRPr="6E1B75D1">
        <w:rPr>
          <w:rFonts w:ascii="Times New Roman" w:eastAsia="Times New Roman" w:hAnsi="Times New Roman"/>
        </w:rPr>
        <w:t xml:space="preserve"> Neste sentido, vê-se que a recente jurisprudência do STF entende pela aplicação de modulação dos efeitos das decisões que possam afrontar o </w:t>
      </w:r>
      <w:r w:rsidRPr="6E1B75D1">
        <w:rPr>
          <w:rFonts w:ascii="Times New Roman" w:eastAsia="Times New Roman" w:hAnsi="Times New Roman"/>
          <w:b/>
          <w:bCs/>
        </w:rPr>
        <w:t>princípio da irredutibilidade de vencimentos e subsídios e o princípio da segurança jurídica.</w:t>
      </w:r>
      <w:r w:rsidRPr="6E1B75D1">
        <w:rPr>
          <w:rFonts w:ascii="Times New Roman" w:eastAsia="Times New Roman" w:hAnsi="Times New Roman"/>
        </w:rPr>
        <w:t xml:space="preserve"> </w:t>
      </w:r>
    </w:p>
    <w:p w14:paraId="36B04052" w14:textId="304677AE" w:rsidR="42D34FC3" w:rsidRDefault="42D34FC3" w:rsidP="6E1B75D1">
      <w:pPr>
        <w:spacing w:after="0" w:line="240" w:lineRule="auto"/>
        <w:ind w:left="1701"/>
        <w:jc w:val="both"/>
        <w:rPr>
          <w:rFonts w:ascii="Times New Roman" w:eastAsia="Times New Roman" w:hAnsi="Times New Roman"/>
          <w:b/>
          <w:bCs/>
        </w:rPr>
      </w:pPr>
      <w:r w:rsidRPr="6E1B75D1">
        <w:rPr>
          <w:rFonts w:ascii="Times New Roman" w:eastAsia="Times New Roman" w:hAnsi="Times New Roman"/>
        </w:rPr>
        <w:t xml:space="preserve">Assim, o que se observa de todo o julgado do CSJT é que, ainda que tenha sido reconhecida a incompatibilidade de recebimento da GAE com a VPNI – atividade </w:t>
      </w:r>
      <w:r w:rsidRPr="6E1B75D1">
        <w:rPr>
          <w:rFonts w:ascii="Times New Roman" w:eastAsia="Times New Roman" w:hAnsi="Times New Roman"/>
        </w:rPr>
        <w:lastRenderedPageBreak/>
        <w:t>de execução de mandados, deve ser respeitada a jurisprudência do STF que, visando resguardar garantias constitucionais, entende pela necessidade de absorção de valores indevidos pelos</w:t>
      </w:r>
      <w:r w:rsidRPr="6E1B75D1">
        <w:rPr>
          <w:rFonts w:ascii="Times New Roman" w:eastAsia="Times New Roman" w:hAnsi="Times New Roman"/>
          <w:b/>
          <w:bCs/>
        </w:rPr>
        <w:t xml:space="preserve"> reajustes e progressões remuneratórias futuras.</w:t>
      </w:r>
    </w:p>
    <w:p w14:paraId="06DD64E7" w14:textId="3813E3EC" w:rsidR="70B9A455" w:rsidRDefault="70B9A455"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Dessarte, com o intuito de esclarecer os critérios para a operacionalização dos comandos oriundos do CSJT, os valores relativos a VPNI decorrente da incorporação de quintos/décimos de função/gratificação concedida aos Oficiais de Justiça pelo exercício de atividade de execução de mandados, deverá ser convertida em parcela compensatória passível de atualização pelos índices gerais de reajuste aplicáveis às remunerações dos servidores públicos, a ser absorvida por ocasião das seguintes hipóteses </w:t>
      </w:r>
      <w:r w:rsidRPr="6E1B75D1">
        <w:rPr>
          <w:rFonts w:ascii="Times New Roman" w:eastAsia="Times New Roman" w:hAnsi="Times New Roman"/>
          <w:b/>
          <w:bCs/>
        </w:rPr>
        <w:t>futuras</w:t>
      </w:r>
      <w:r w:rsidRPr="6E1B75D1">
        <w:rPr>
          <w:rFonts w:ascii="Times New Roman" w:eastAsia="Times New Roman" w:hAnsi="Times New Roman"/>
        </w:rPr>
        <w:t xml:space="preserve">: </w:t>
      </w:r>
    </w:p>
    <w:p w14:paraId="7D83C41F" w14:textId="14EAA8A0" w:rsidR="70B9A455" w:rsidRDefault="70B9A455"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 do desenvolvimento no cargo ou na carreira por progressão ou promoção, ordinária ou extraordinária; </w:t>
      </w:r>
    </w:p>
    <w:p w14:paraId="7C8E074B" w14:textId="262C1A35" w:rsidR="70B9A455" w:rsidRDefault="70B9A455"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 da reorganização ou da reestruturação dos cargos e da carreira ou das remunerações; </w:t>
      </w:r>
    </w:p>
    <w:p w14:paraId="0935125B" w14:textId="238CFD8B" w:rsidR="70B9A455" w:rsidRDefault="70B9A455"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 da concessão de reajuste ou vantagem de qualquer natureza, com o objetivo de fazer prevalecer o princípio da irredutibilidade de vencimento e de subsídios e da segurança jurídica. </w:t>
      </w:r>
    </w:p>
    <w:p w14:paraId="703BDCF9" w14:textId="016E4993" w:rsidR="70B9A455" w:rsidRDefault="70B9A455"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Note-se que, não obstante o comando contido nas linhas conclusivas da decisão em exame, o qual foi direcionado ao TRT1 para adoção das medidas procedimentais encaminhadas pelo TCU para regularização dos pagamentos indevidos, aponte para uma aparente absorção das parcelas irregulares de forma retroativa, há que se ressaltar o quanto disposto no item d.3, que de igual modo garantiu o </w:t>
      </w:r>
      <w:r w:rsidRPr="6E1B75D1">
        <w:rPr>
          <w:rFonts w:ascii="Times New Roman" w:eastAsia="Times New Roman" w:hAnsi="Times New Roman"/>
          <w:b/>
          <w:bCs/>
        </w:rPr>
        <w:t>respeito ao princípio da irredutibilidade salarial</w:t>
      </w:r>
      <w:r w:rsidRPr="6E1B75D1">
        <w:rPr>
          <w:rFonts w:ascii="Times New Roman" w:eastAsia="Times New Roman" w:hAnsi="Times New Roman"/>
        </w:rPr>
        <w:t xml:space="preserve">. Vejamos: </w:t>
      </w:r>
    </w:p>
    <w:p w14:paraId="0D64EB68" w14:textId="68F46271" w:rsidR="70B9A455" w:rsidRDefault="70B9A455" w:rsidP="6E1B75D1">
      <w:pPr>
        <w:spacing w:after="0" w:line="240" w:lineRule="auto"/>
        <w:ind w:left="2268"/>
        <w:jc w:val="both"/>
        <w:rPr>
          <w:rFonts w:ascii="Times New Roman" w:eastAsia="Times New Roman" w:hAnsi="Times New Roman"/>
        </w:rPr>
      </w:pPr>
      <w:r w:rsidRPr="6E1B75D1">
        <w:rPr>
          <w:rFonts w:ascii="Times New Roman" w:eastAsia="Times New Roman" w:hAnsi="Times New Roman"/>
        </w:rPr>
        <w:t xml:space="preserve">d.3 Então, </w:t>
      </w:r>
      <w:r w:rsidRPr="6E1B75D1">
        <w:rPr>
          <w:rFonts w:ascii="Times New Roman" w:eastAsia="Times New Roman" w:hAnsi="Times New Roman"/>
          <w:u w:val="single"/>
        </w:rPr>
        <w:t>para se respeitar o princípio da irredutibilidade salarial, a rubrica em análise deve ser convertida em parcela compensatória passível de atualização pelos índices gerais de reajuste aplicáveis às remunerações dos servidores públicos, a ser absorvida</w:t>
      </w:r>
      <w:r w:rsidRPr="6E1B75D1">
        <w:rPr>
          <w:rFonts w:ascii="Times New Roman" w:eastAsia="Times New Roman" w:hAnsi="Times New Roman"/>
        </w:rPr>
        <w:t xml:space="preserve"> por ocasião: do desenvolvimento no cargo ou na carreira por progressão ou promoção, ordinária ou extraordinária; da reorganização ou da reestruturação dos cargos e da carreira ou das remunerações; da concessão de reajuste ou vantagem de qualquer natureza. (grifamos) </w:t>
      </w:r>
    </w:p>
    <w:p w14:paraId="2FFF03BA" w14:textId="0BB33EA2" w:rsidR="70B9A455" w:rsidRDefault="70B9A455" w:rsidP="6E1B75D1">
      <w:pPr>
        <w:spacing w:after="0" w:line="240" w:lineRule="auto"/>
        <w:ind w:left="1701"/>
        <w:jc w:val="both"/>
        <w:rPr>
          <w:rFonts w:ascii="Times New Roman" w:eastAsia="Times New Roman" w:hAnsi="Times New Roman"/>
        </w:rPr>
      </w:pPr>
      <w:r w:rsidRPr="6E1B75D1">
        <w:rPr>
          <w:rFonts w:ascii="Times New Roman" w:eastAsia="Times New Roman" w:hAnsi="Times New Roman"/>
        </w:rPr>
        <w:t xml:space="preserve">Tem-se, pois, que foi expressamente estabelecido em reiterados trechos da decisão em comento, inclusive nas diretrizes da Corte Superior de Contas, o necessário respeito ao </w:t>
      </w:r>
      <w:r w:rsidRPr="6E1B75D1">
        <w:rPr>
          <w:rFonts w:ascii="Times New Roman" w:eastAsia="Times New Roman" w:hAnsi="Times New Roman"/>
          <w:b/>
          <w:bCs/>
        </w:rPr>
        <w:t xml:space="preserve">princípio constitucional da irredutibilidade salarial </w:t>
      </w:r>
      <w:r w:rsidRPr="6E1B75D1">
        <w:rPr>
          <w:rFonts w:ascii="Times New Roman" w:eastAsia="Times New Roman" w:hAnsi="Times New Roman"/>
        </w:rPr>
        <w:t xml:space="preserve">(art. 7º, VI da CF). </w:t>
      </w:r>
    </w:p>
    <w:p w14:paraId="3B51DFE1" w14:textId="01D09EDB" w:rsidR="70B9A455" w:rsidRDefault="70B9A455" w:rsidP="6E1B75D1">
      <w:pPr>
        <w:spacing w:after="0" w:line="240" w:lineRule="auto"/>
        <w:ind w:left="1701"/>
        <w:jc w:val="both"/>
        <w:rPr>
          <w:rFonts w:ascii="Times New Roman" w:eastAsia="Times New Roman" w:hAnsi="Times New Roman"/>
          <w:b/>
          <w:bCs/>
        </w:rPr>
      </w:pPr>
      <w:r w:rsidRPr="6E1B75D1">
        <w:rPr>
          <w:rFonts w:ascii="Times New Roman" w:eastAsia="Times New Roman" w:hAnsi="Times New Roman"/>
        </w:rPr>
        <w:t>Sendo assim, considerando que já foram implementados os aumentos concedidos pela Lei n. 11.416/2016 (última dos últimos 5 anos), a aplicabilidade da decisão do CSJT (absorção da parcela compensatória oriunda da VPNI), somente alcançará</w:t>
      </w:r>
      <w:r w:rsidRPr="6E1B75D1">
        <w:rPr>
          <w:rFonts w:ascii="Times New Roman" w:eastAsia="Times New Roman" w:hAnsi="Times New Roman"/>
          <w:b/>
          <w:bCs/>
        </w:rPr>
        <w:t xml:space="preserve"> FUTUROS reajustes</w:t>
      </w:r>
      <w:r w:rsidRPr="6E1B75D1">
        <w:rPr>
          <w:rFonts w:ascii="Times New Roman" w:eastAsia="Times New Roman" w:hAnsi="Times New Roman"/>
        </w:rPr>
        <w:t>.</w:t>
      </w:r>
      <w:r w:rsidR="0268017A" w:rsidRPr="6E1B75D1">
        <w:rPr>
          <w:rFonts w:ascii="Times New Roman" w:eastAsia="Times New Roman" w:hAnsi="Times New Roman"/>
        </w:rPr>
        <w:t xml:space="preserve"> (</w:t>
      </w:r>
      <w:r w:rsidR="0268017A" w:rsidRPr="6E1B75D1">
        <w:rPr>
          <w:rFonts w:ascii="Times New Roman" w:eastAsia="Times New Roman" w:hAnsi="Times New Roman"/>
          <w:i/>
          <w:iCs/>
        </w:rPr>
        <w:t>grifou-se</w:t>
      </w:r>
      <w:r w:rsidR="0268017A" w:rsidRPr="6E1B75D1">
        <w:rPr>
          <w:rFonts w:ascii="Times New Roman" w:eastAsia="Times New Roman" w:hAnsi="Times New Roman"/>
        </w:rPr>
        <w:t>)</w:t>
      </w:r>
    </w:p>
    <w:p w14:paraId="58E21554" w14:textId="43E7BA50" w:rsidR="6E1B75D1" w:rsidRDefault="6E1B75D1" w:rsidP="6E1B75D1">
      <w:pPr>
        <w:spacing w:after="0" w:line="240" w:lineRule="auto"/>
        <w:ind w:firstLine="1701"/>
        <w:jc w:val="both"/>
        <w:rPr>
          <w:rFonts w:ascii="Times New Roman" w:hAnsi="Times New Roman"/>
        </w:rPr>
      </w:pPr>
    </w:p>
    <w:p w14:paraId="7F8C0A2D" w14:textId="1E0DD9EB" w:rsidR="53472ADB" w:rsidRDefault="53472ADB"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Logo, não cabe, sequer, dizer que aqui se pode retirar a VPNI a pretexto de cumprir orientação do TCU, pois outra tem sido a orientação para o caso (manutenção da VPNI), sem prejuízo da GAE.</w:t>
      </w:r>
    </w:p>
    <w:p w14:paraId="3E57E2E0" w14:textId="6CDCCB38" w:rsidR="6E1B75D1" w:rsidRDefault="6E1B75D1" w:rsidP="6E1B75D1">
      <w:pPr>
        <w:spacing w:after="0" w:line="240" w:lineRule="auto"/>
        <w:ind w:firstLine="1701"/>
        <w:jc w:val="both"/>
        <w:rPr>
          <w:rFonts w:ascii="Times New Roman" w:hAnsi="Times New Roman"/>
          <w:sz w:val="26"/>
          <w:szCs w:val="26"/>
        </w:rPr>
      </w:pPr>
    </w:p>
    <w:p w14:paraId="5EE72605" w14:textId="59EA97DD" w:rsidR="53472ADB" w:rsidRDefault="53472ADB" w:rsidP="6E1B75D1">
      <w:pPr>
        <w:spacing w:after="0" w:line="240" w:lineRule="auto"/>
        <w:ind w:firstLine="1701"/>
        <w:jc w:val="both"/>
        <w:rPr>
          <w:rFonts w:ascii="Times New Roman" w:hAnsi="Times New Roman"/>
          <w:b/>
          <w:bCs/>
          <w:sz w:val="26"/>
          <w:szCs w:val="26"/>
          <w:u w:val="single"/>
        </w:rPr>
      </w:pPr>
      <w:r w:rsidRPr="6E1B75D1">
        <w:rPr>
          <w:rFonts w:ascii="Times New Roman" w:hAnsi="Times New Roman"/>
          <w:b/>
          <w:bCs/>
          <w:sz w:val="26"/>
          <w:szCs w:val="26"/>
          <w:u w:val="single"/>
        </w:rPr>
        <w:t xml:space="preserve">Assim, mostra-se inconcebível que esta Seção Judiciária continue a penalizar seus servidores sob o pretexto de que cumpre determinações do Tribunal de Contas da União quando, em realidade, percebe-se que a própria Corte de Contas tem adotada entendimento diverso, no sentido </w:t>
      </w:r>
      <w:r w:rsidRPr="6E1B75D1">
        <w:rPr>
          <w:rFonts w:ascii="Times New Roman" w:hAnsi="Times New Roman"/>
          <w:b/>
          <w:bCs/>
          <w:sz w:val="26"/>
          <w:szCs w:val="26"/>
          <w:u w:val="single"/>
        </w:rPr>
        <w:lastRenderedPageBreak/>
        <w:t>de manter o pagamento acumulado da GAE e da VPNI e determinar a compensação da parcela apenas pelos reajustes futuros.</w:t>
      </w:r>
    </w:p>
    <w:p w14:paraId="49D2B0C8" w14:textId="1B30D630" w:rsidR="6E1B75D1" w:rsidRDefault="6E1B75D1" w:rsidP="6E1B75D1">
      <w:pPr>
        <w:spacing w:after="0" w:line="240" w:lineRule="auto"/>
        <w:ind w:firstLine="1701"/>
        <w:jc w:val="both"/>
        <w:rPr>
          <w:rFonts w:ascii="Times New Roman" w:hAnsi="Times New Roman"/>
          <w:sz w:val="26"/>
          <w:szCs w:val="26"/>
        </w:rPr>
      </w:pPr>
    </w:p>
    <w:p w14:paraId="6A1D37EB" w14:textId="7E4E5A01"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Assim, como expressão fundamental do Estado Democrático de Direito, é necessário que se observe o princípio da segurança jurídica, envolvendo a proteção da boa-fé e a confiança dos administrados nos atos da Administração. Devido a isso é que deve ser mantido o direito ao pagamento das parcelas incorporadas e percebidas de boa-fé durante período superior a cinco anos, ou, ao menos, garantida a compensação por reajustes </w:t>
      </w:r>
      <w:r w:rsidRPr="6E1B75D1">
        <w:rPr>
          <w:rFonts w:ascii="Times New Roman" w:hAnsi="Times New Roman"/>
          <w:b/>
          <w:bCs/>
          <w:sz w:val="26"/>
          <w:szCs w:val="26"/>
        </w:rPr>
        <w:t>futuros</w:t>
      </w:r>
      <w:r w:rsidRPr="6E1B75D1">
        <w:rPr>
          <w:rFonts w:ascii="Times New Roman" w:hAnsi="Times New Roman"/>
          <w:sz w:val="26"/>
          <w:szCs w:val="26"/>
        </w:rPr>
        <w:t>, e não pretéritos.</w:t>
      </w:r>
    </w:p>
    <w:p w14:paraId="02228CBB" w14:textId="547C94F6"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76DA851D" w14:textId="085305BE"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Além de princípio constitucional, a segurança jurídica constou do artigo 2º da Lei 9.784/99:</w:t>
      </w:r>
    </w:p>
    <w:p w14:paraId="388E9070" w14:textId="77C57A8E"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93B5DE0" w14:textId="702F5FC8" w:rsidR="68210A76" w:rsidRDefault="68210A76" w:rsidP="6E1B75D1">
      <w:pPr>
        <w:spacing w:after="0" w:line="240" w:lineRule="auto"/>
        <w:ind w:left="1701"/>
        <w:jc w:val="both"/>
        <w:rPr>
          <w:rFonts w:ascii="Times New Roman" w:hAnsi="Times New Roman"/>
        </w:rPr>
      </w:pPr>
      <w:r w:rsidRPr="6E1B75D1">
        <w:rPr>
          <w:rFonts w:ascii="Times New Roman" w:hAnsi="Times New Roman"/>
        </w:rPr>
        <w:t>Art. 2º. A Administração Pública obedecerá, dentre outros, aos princípios da legalidade, finalidade, motivação, razoabilidade, proporcionalidade, moralidade, ampla defesa, contraditório,</w:t>
      </w:r>
      <w:r w:rsidRPr="6E1B75D1">
        <w:rPr>
          <w:rFonts w:ascii="Times New Roman" w:hAnsi="Times New Roman"/>
          <w:b/>
          <w:bCs/>
        </w:rPr>
        <w:t xml:space="preserve"> segurança jurídica</w:t>
      </w:r>
      <w:r w:rsidRPr="6E1B75D1">
        <w:rPr>
          <w:rFonts w:ascii="Times New Roman" w:hAnsi="Times New Roman"/>
        </w:rPr>
        <w:t>, interesse público e eficiência.</w:t>
      </w:r>
    </w:p>
    <w:p w14:paraId="3AE8EF96" w14:textId="01E94CE5"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2A079BBF" w14:textId="11D78E19"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Conforme Canotilho, os princípios da segurança jurídica e da proteção da confiança, como elementos constitutivos do Estado de Direito, são indispensáveis à estabilidade das relações sociais e à realização do próprio Direito. Para o jurista lusitano, a segurança jurídica e a proteção da confiança – que reunidos formam o princípio geral da segurança jurídica em sentido amplo – são postulados de observância obrigatória perante os atos do Poder Público. </w:t>
      </w:r>
    </w:p>
    <w:p w14:paraId="12EEEFE4" w14:textId="5F32B659"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9788A9E" w14:textId="5075B718"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Isso porque tais atos devem conter “fiabilidade, racionalidade e transparência”, de forma que em relação a eles “o cidadão veja garantida a segurança nas suas disposições pessoais e nos efeitos jurídicos de seus próprios atos”.</w:t>
      </w:r>
    </w:p>
    <w:p w14:paraId="573CA510" w14:textId="6D13EE01"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1C1D986C" w14:textId="5D07BFD7"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Reitera-se que a incorporação de quintos ocorreu há 20 (vinte) anos e a implementação da GAE ocorreu há mais de 12 (doze) anos e que, desde então, as parcelas são recebidas de forma cumulativa. Ou seja, há mais de cinco anos estes servidores percebem a GAE cumulada com a VPNI oriunda dos quintos incorporados. </w:t>
      </w:r>
    </w:p>
    <w:p w14:paraId="0059C062" w14:textId="2DC2B6B0"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7A593F7" w14:textId="11C95DA0"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Ademais, os atos administrativos são dotados da presunção de legalidade e legitimidade, diante do que a partir da percepção das vantagens, cria-se a fiel expectativa de que a parcela percebida de boa-fé está incorporada na sua totalidade ao patrimônio jurídico dos Oficiais de Justiça, conforme evidencia o normativo brasileiro.</w:t>
      </w:r>
    </w:p>
    <w:p w14:paraId="3604AE1E" w14:textId="3BE52489"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B7EF728" w14:textId="1DB6ACB0"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Entretanto, a Administração viola o princípio da segurança jurídica das relações ao pretender desconstituir situação que perdura há mais de cinco anos, suprimindo parcelas incorporadas à remuneração do servidor. Também macula o </w:t>
      </w:r>
      <w:r w:rsidRPr="6E1B75D1">
        <w:rPr>
          <w:rFonts w:ascii="Times New Roman" w:hAnsi="Times New Roman"/>
          <w:sz w:val="26"/>
          <w:szCs w:val="26"/>
        </w:rPr>
        <w:lastRenderedPageBreak/>
        <w:t>mencionado princípio caso se aplique a compensação utilizando-se de reajustes pretéritos, o que é vedado pela legislação.</w:t>
      </w:r>
    </w:p>
    <w:p w14:paraId="06E9BDA0" w14:textId="6DC1FCA6"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5D465898" w14:textId="4CFA2037"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Para além do que já foi considerado, essas parcelas alimentares que vêm sendo percebidas e consumidas de boa-fé não podem ser suprimidas também sob pena de se violar a proibição de aplicação retroativa de novo entendimento administrativo, uma vez que, mesmo sedimentado o reconhecimento administrativo do direito, </w:t>
      </w:r>
      <w:r w:rsidRPr="6E1B75D1">
        <w:rPr>
          <w:rFonts w:ascii="Times New Roman" w:hAnsi="Times New Roman"/>
          <w:b/>
          <w:bCs/>
          <w:sz w:val="26"/>
          <w:szCs w:val="26"/>
        </w:rPr>
        <w:t>a Administração pretende aplicar seu novo posicionamento para modificar situação consolidada</w:t>
      </w:r>
      <w:r w:rsidRPr="6E1B75D1">
        <w:rPr>
          <w:rFonts w:ascii="Times New Roman" w:hAnsi="Times New Roman"/>
          <w:sz w:val="26"/>
          <w:szCs w:val="26"/>
        </w:rPr>
        <w:t>, consoante o comando do inciso XIII do parágrafo único do artigo 2º da Lei nº 9.784, de 1999, que reza:</w:t>
      </w:r>
    </w:p>
    <w:p w14:paraId="2122EBC5" w14:textId="29B8B4A7"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61F01DA2" w14:textId="2899B111" w:rsidR="68210A76" w:rsidRDefault="68210A76" w:rsidP="6E1B75D1">
      <w:pPr>
        <w:spacing w:after="0" w:line="240" w:lineRule="auto"/>
        <w:ind w:left="1701"/>
        <w:jc w:val="both"/>
        <w:rPr>
          <w:rFonts w:ascii="Times New Roman" w:hAnsi="Times New Roman"/>
        </w:rPr>
      </w:pPr>
      <w:r w:rsidRPr="6E1B75D1">
        <w:rPr>
          <w:rFonts w:ascii="Times New Roman" w:hAnsi="Times New Roman"/>
        </w:rPr>
        <w:t xml:space="preserve">Art. 2º. (...) Parágrafo único. Nos processos administrativos serão observados, entre outros, os critérios de: (...) XIII- interpretação da norma administrativa da forma que melhor garanta o atendimento do fim público a que se dirige, </w:t>
      </w:r>
      <w:r w:rsidRPr="6E1B75D1">
        <w:rPr>
          <w:rFonts w:ascii="Times New Roman" w:hAnsi="Times New Roman"/>
          <w:b/>
          <w:bCs/>
        </w:rPr>
        <w:t>vedada a aplicação retroativa de nova interpretação</w:t>
      </w:r>
      <w:r w:rsidRPr="6E1B75D1">
        <w:rPr>
          <w:rFonts w:ascii="Times New Roman" w:hAnsi="Times New Roman"/>
        </w:rPr>
        <w:t xml:space="preserve">. (grifou-se) </w:t>
      </w:r>
    </w:p>
    <w:p w14:paraId="5A928C22" w14:textId="4CA7C0F4"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3D2ECF25" w14:textId="5F364220"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Logo, a supressão de GAE ou da VPNI, concedidas com base na legislação regente e há mais de cinco anos, não se coaduna com a garantia da segurança jurídica, extraída do inciso XXXVI artigo 5º da Constituição e expressa no artigo 2º da Lei nº 9.784.</w:t>
      </w:r>
    </w:p>
    <w:p w14:paraId="1C22F356" w14:textId="1E972796"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 xml:space="preserve"> </w:t>
      </w:r>
    </w:p>
    <w:p w14:paraId="08AF22BD" w14:textId="285C90BE" w:rsidR="68210A76" w:rsidRDefault="68210A76" w:rsidP="6E1B75D1">
      <w:pPr>
        <w:spacing w:after="0" w:line="240" w:lineRule="auto"/>
        <w:ind w:firstLine="1701"/>
        <w:jc w:val="both"/>
        <w:rPr>
          <w:rFonts w:ascii="Times New Roman" w:hAnsi="Times New Roman"/>
          <w:sz w:val="26"/>
          <w:szCs w:val="26"/>
        </w:rPr>
      </w:pPr>
      <w:r w:rsidRPr="6E1B75D1">
        <w:rPr>
          <w:rFonts w:ascii="Times New Roman" w:hAnsi="Times New Roman"/>
          <w:sz w:val="26"/>
          <w:szCs w:val="26"/>
        </w:rPr>
        <w:t>Ademais, apesar de se defender a legalidade da cumulação da GAE com a VPNI, mesmo se esse não for o entendimento, à Administração não cabe suprimir nenhuma das parcelas mediante a absorção considerando reajustes pretéritos.</w:t>
      </w:r>
    </w:p>
    <w:p w14:paraId="5CDCAE34" w14:textId="3A57B648" w:rsidR="6E1B75D1" w:rsidRDefault="6E1B75D1" w:rsidP="6E1B75D1">
      <w:pPr>
        <w:spacing w:after="0" w:line="240" w:lineRule="auto"/>
        <w:ind w:firstLine="1701"/>
        <w:jc w:val="both"/>
        <w:rPr>
          <w:rFonts w:ascii="Times New Roman" w:hAnsi="Times New Roman"/>
          <w:sz w:val="26"/>
          <w:szCs w:val="26"/>
        </w:rPr>
      </w:pPr>
    </w:p>
    <w:p w14:paraId="13A3690E" w14:textId="7B05BCE8" w:rsidR="6E1B75D1" w:rsidRDefault="439AF0C7" w:rsidP="23C96B68">
      <w:pPr>
        <w:spacing w:after="0" w:line="240" w:lineRule="auto"/>
        <w:ind w:left="284" w:hanging="284"/>
        <w:jc w:val="both"/>
        <w:rPr>
          <w:rFonts w:ascii="Times New Roman" w:eastAsia="Times New Roman" w:hAnsi="Times New Roman"/>
          <w:color w:val="000000" w:themeColor="text1"/>
          <w:sz w:val="26"/>
          <w:szCs w:val="26"/>
        </w:rPr>
      </w:pPr>
      <w:r w:rsidRPr="23C96B68">
        <w:rPr>
          <w:rFonts w:ascii="Times New Roman" w:eastAsia="Times New Roman" w:hAnsi="Times New Roman"/>
          <w:b/>
          <w:bCs/>
          <w:color w:val="000000" w:themeColor="text1"/>
          <w:sz w:val="26"/>
          <w:szCs w:val="26"/>
        </w:rPr>
        <w:t xml:space="preserve">3. </w:t>
      </w:r>
      <w:r w:rsidRPr="23C96B68">
        <w:rPr>
          <w:rFonts w:ascii="Times New Roman" w:eastAsia="Times New Roman" w:hAnsi="Times New Roman"/>
          <w:b/>
          <w:bCs/>
          <w:color w:val="000000" w:themeColor="text1"/>
          <w:sz w:val="26"/>
          <w:szCs w:val="26"/>
          <w:u w:val="single"/>
        </w:rPr>
        <w:t>PRECEDENTES ESPECÍFICOS</w:t>
      </w:r>
    </w:p>
    <w:p w14:paraId="0A46CB47" w14:textId="15CEED15" w:rsidR="6E1B75D1" w:rsidRDefault="6E1B75D1" w:rsidP="23C96B68">
      <w:pPr>
        <w:spacing w:after="0" w:line="240" w:lineRule="auto"/>
        <w:ind w:left="284" w:hanging="284"/>
        <w:jc w:val="both"/>
        <w:rPr>
          <w:rFonts w:ascii="Times New Roman" w:eastAsia="Times New Roman" w:hAnsi="Times New Roman"/>
          <w:color w:val="000000" w:themeColor="text1"/>
          <w:sz w:val="26"/>
          <w:szCs w:val="26"/>
        </w:rPr>
      </w:pPr>
    </w:p>
    <w:p w14:paraId="695CEB52" w14:textId="7F1381DF" w:rsidR="6E1B75D1" w:rsidRDefault="439AF0C7" w:rsidP="23C96B68">
      <w:pPr>
        <w:spacing w:after="0" w:line="240" w:lineRule="auto"/>
        <w:jc w:val="both"/>
        <w:rPr>
          <w:rFonts w:ascii="Times New Roman" w:eastAsia="Times New Roman" w:hAnsi="Times New Roman"/>
          <w:color w:val="000000" w:themeColor="text1"/>
          <w:sz w:val="26"/>
          <w:szCs w:val="26"/>
        </w:rPr>
      </w:pPr>
      <w:r w:rsidRPr="23C96B68">
        <w:rPr>
          <w:rFonts w:ascii="Times New Roman" w:eastAsia="Times New Roman" w:hAnsi="Times New Roman"/>
          <w:b/>
          <w:bCs/>
          <w:color w:val="000000" w:themeColor="text1"/>
          <w:sz w:val="26"/>
          <w:szCs w:val="26"/>
        </w:rPr>
        <w:t xml:space="preserve">3.1. </w:t>
      </w:r>
      <w:r w:rsidRPr="23C96B68">
        <w:rPr>
          <w:rFonts w:ascii="Times New Roman" w:eastAsia="Times New Roman" w:hAnsi="Times New Roman"/>
          <w:b/>
          <w:bCs/>
          <w:color w:val="000000" w:themeColor="text1"/>
          <w:sz w:val="26"/>
          <w:szCs w:val="26"/>
          <w:u w:val="single"/>
        </w:rPr>
        <w:t>STF: recentes acórdãos – MS 36869 - MS 36744 - MS 31244 - com determinação de compensação para futuro, sem retroatividade</w:t>
      </w:r>
    </w:p>
    <w:p w14:paraId="1931A1A4" w14:textId="052FD700"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1A62B927" w14:textId="6A81F184"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A impossibilidade – por analogia - de corte remuneratório foi objeto de recente julgamento dos Embargos de Declaração no Recurso Extraordinário nº 638.115, no qual o Supremo entendeu ser indevida a cessação imediata do pagamento de VPNI de quintos, garantindo a modulação a fim de que a parcela seja mantida até a absorção por </w:t>
      </w:r>
      <w:r w:rsidRPr="23C96B68">
        <w:rPr>
          <w:rFonts w:ascii="Times New Roman" w:eastAsia="Times New Roman" w:hAnsi="Times New Roman"/>
          <w:b/>
          <w:bCs/>
          <w:color w:val="000000" w:themeColor="text1"/>
          <w:sz w:val="26"/>
          <w:szCs w:val="26"/>
        </w:rPr>
        <w:t>reajustes futuros</w:t>
      </w:r>
      <w:r w:rsidRPr="23C96B68">
        <w:rPr>
          <w:rFonts w:ascii="Times New Roman" w:eastAsia="Times New Roman" w:hAnsi="Times New Roman"/>
          <w:color w:val="000000" w:themeColor="text1"/>
          <w:sz w:val="26"/>
          <w:szCs w:val="26"/>
        </w:rPr>
        <w:t xml:space="preserve">. </w:t>
      </w:r>
    </w:p>
    <w:p w14:paraId="0C196FF2" w14:textId="59DF9A59"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7DA42195" w14:textId="7AFACDCE"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O acórdão, inclusive, admitiu a modulação dos efeitos da decisão para aqueles que continuam recebendo os quintos em razão de decisão administrativa. </w:t>
      </w:r>
      <w:r w:rsidRPr="23C96B68">
        <w:rPr>
          <w:rFonts w:ascii="Times New Roman" w:eastAsia="Times New Roman" w:hAnsi="Times New Roman"/>
          <w:b/>
          <w:bCs/>
          <w:color w:val="000000" w:themeColor="text1"/>
          <w:sz w:val="26"/>
          <w:szCs w:val="26"/>
        </w:rPr>
        <w:t xml:space="preserve">Tal posicionamento foi reafirmado quando do julgamento do agravo regimental em </w:t>
      </w:r>
      <w:r w:rsidRPr="23C96B68">
        <w:rPr>
          <w:rFonts w:ascii="Times New Roman" w:eastAsia="Times New Roman" w:hAnsi="Times New Roman"/>
          <w:b/>
          <w:bCs/>
          <w:color w:val="000000" w:themeColor="text1"/>
          <w:sz w:val="26"/>
          <w:szCs w:val="26"/>
          <w:u w:val="single"/>
        </w:rPr>
        <w:t>mandado de segurança n° 36869</w:t>
      </w:r>
      <w:r w:rsidRPr="23C96B68">
        <w:rPr>
          <w:rFonts w:ascii="Times New Roman" w:eastAsia="Times New Roman" w:hAnsi="Times New Roman"/>
          <w:b/>
          <w:bCs/>
          <w:color w:val="000000" w:themeColor="text1"/>
          <w:sz w:val="26"/>
          <w:szCs w:val="26"/>
        </w:rPr>
        <w:t xml:space="preserve"> (relator Ministro Fux)</w:t>
      </w:r>
      <w:r w:rsidRPr="23C96B68">
        <w:rPr>
          <w:rFonts w:ascii="Times New Roman" w:eastAsia="Times New Roman" w:hAnsi="Times New Roman"/>
          <w:color w:val="000000" w:themeColor="text1"/>
          <w:sz w:val="26"/>
          <w:szCs w:val="26"/>
        </w:rPr>
        <w:t xml:space="preserve">, em que o STF determinou que o TCU reanalisasse pleitos que versavam sobre a matéria, observando o entendimento firmado, em situações que envolve – especificamente – </w:t>
      </w:r>
      <w:r w:rsidRPr="23C96B68">
        <w:rPr>
          <w:rFonts w:ascii="Times New Roman" w:eastAsia="Times New Roman" w:hAnsi="Times New Roman"/>
          <w:color w:val="000000" w:themeColor="text1"/>
          <w:sz w:val="26"/>
          <w:szCs w:val="26"/>
        </w:rPr>
        <w:lastRenderedPageBreak/>
        <w:t>o Acórdão 2784/2016/TCU-Plenário (VPNI de quintos de OJAF com GAE). Assim ficou ementado o acórdão de agravo regimental no MS 36869:</w:t>
      </w:r>
    </w:p>
    <w:p w14:paraId="13C56987" w14:textId="76502F96"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67390FF5" w14:textId="749238DF"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sz w:val="20"/>
          <w:szCs w:val="20"/>
        </w:rPr>
        <w:t>AGRAVO REGIMENTAL EM MANDADO DE SEGURANÇA. TRIBUNAL DE CONTAS DA UNIÃO. NEGATIVA DE REGISTRO A ATO DE CONCESSÃO INICIAL DE APOSENTADORIA. [...]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 AGRAVO REGIMENTAL A QUE SE DÁ PARCIAL PROVIMENTO</w:t>
      </w:r>
      <w:r w:rsidRPr="23C96B68">
        <w:rPr>
          <w:rFonts w:ascii="Times New Roman" w:eastAsia="Times New Roman" w:hAnsi="Times New Roman"/>
          <w:color w:val="000000" w:themeColor="text1"/>
        </w:rPr>
        <w:t xml:space="preserve">. [...] 7. Em verdade, in casu, há somente UM ponto na argumentação do agravante, trazida supervenientemente já em sede memorial, que demanda o reparo de minha decisão monocrática anterior. 8. O Plenário deste Supremo Tribunal Federal, no julgamento do Recurso Extraordinário 638.115 (Rel. Min. Gilmar Mendes, DJe de 3/8/2015), decidiu, em sede repercussão geral, pela inconstitucionalidade da incorporação de quintos decorrentes do exercício de funções comissionadas no período compreendido entre a edição da Lei 9.624/1998 e a edição da Medida Provisória 2.225-48/2001. 9. Ocorre que, supervenientemente, houve a modulação dos efeitos da decisão anteriormente proferida no Recurso Extraordinário n. 638.115, em sede de repercussão geral (RE 638.115-ED-ED, Min. Rel. Gilmar Mendes, Tribunal Pleno, DJe em 31/1/2020). 10. Consectariamente,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11.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12. De fato, o enfrentamento de questões afetas à Corte de Contas firmam-se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13. Nesse sentido, há maior razoabilidade em delegar ao próprio órgão que reavalie a decisão, porém em estrita observância às novas balizas desta Suprema Corte. 14. Agravo regimental a que se dá PARCIAL PROVIMENTO, apenas para que o Tribunal de Contas da União, nos autos do processo de Tomada de Contas (TC) nº </w:t>
      </w:r>
      <w:r w:rsidRPr="23C96B68">
        <w:rPr>
          <w:rFonts w:ascii="Times New Roman" w:eastAsia="Times New Roman" w:hAnsi="Times New Roman"/>
          <w:color w:val="000000" w:themeColor="text1"/>
        </w:rPr>
        <w:lastRenderedPageBreak/>
        <w:t>026.294/2016-8, analise novamente o pleito da agravante observando a nova orientação proferida pelo Plenário deste Supremo Tribunal Federal (RE 638.115-ED-ED, Min. Rel. Gilmar Mendes, Tribunal Pleno, DJe em 31/1/2020).</w:t>
      </w:r>
    </w:p>
    <w:p w14:paraId="6C307827" w14:textId="6B61DB06"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w:t>
      </w:r>
      <w:r w:rsidRPr="23C96B68">
        <w:rPr>
          <w:rFonts w:ascii="Times New Roman" w:eastAsia="Times New Roman" w:hAnsi="Times New Roman"/>
          <w:b/>
          <w:bCs/>
          <w:color w:val="000000" w:themeColor="text1"/>
        </w:rPr>
        <w:t>MS 36869 AgR, Relator(a): Min. LUIZ FUX, Julgamento: 22/05/2020, Publicação: 18/06/2020, Órgão julgador: Primeira PROCESSO ELETRÔNICO DJe-151 DIVULG 17-06-2020 PUBLIC 18-06-2020</w:t>
      </w:r>
      <w:r w:rsidRPr="23C96B68">
        <w:rPr>
          <w:rFonts w:ascii="Times New Roman" w:eastAsia="Times New Roman" w:hAnsi="Times New Roman"/>
          <w:color w:val="000000" w:themeColor="text1"/>
        </w:rPr>
        <w:t>)</w:t>
      </w:r>
    </w:p>
    <w:p w14:paraId="3CD50B4C" w14:textId="32E2B2AD"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2C050BA1" w14:textId="5678C500"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Inconformada, a União opôs </w:t>
      </w:r>
      <w:r w:rsidRPr="23C96B68">
        <w:rPr>
          <w:rFonts w:ascii="Times New Roman" w:eastAsia="Times New Roman" w:hAnsi="Times New Roman"/>
          <w:b/>
          <w:bCs/>
          <w:color w:val="000000" w:themeColor="text1"/>
          <w:sz w:val="26"/>
          <w:szCs w:val="26"/>
        </w:rPr>
        <w:t>embargos de declaração</w:t>
      </w:r>
      <w:r w:rsidRPr="23C96B68">
        <w:rPr>
          <w:rFonts w:ascii="Times New Roman" w:eastAsia="Times New Roman" w:hAnsi="Times New Roman"/>
          <w:color w:val="000000" w:themeColor="text1"/>
          <w:sz w:val="26"/>
          <w:szCs w:val="26"/>
        </w:rPr>
        <w:t xml:space="preserve"> ao referido acórdão de agravo no </w:t>
      </w:r>
      <w:r w:rsidRPr="23C96B68">
        <w:rPr>
          <w:rFonts w:ascii="Times New Roman" w:eastAsia="Times New Roman" w:hAnsi="Times New Roman"/>
          <w:b/>
          <w:bCs/>
          <w:color w:val="000000" w:themeColor="text1"/>
          <w:sz w:val="26"/>
          <w:szCs w:val="26"/>
        </w:rPr>
        <w:t>MS 36869</w:t>
      </w:r>
      <w:r w:rsidRPr="23C96B68">
        <w:rPr>
          <w:rFonts w:ascii="Times New Roman" w:eastAsia="Times New Roman" w:hAnsi="Times New Roman"/>
          <w:color w:val="000000" w:themeColor="text1"/>
          <w:sz w:val="26"/>
          <w:szCs w:val="26"/>
        </w:rPr>
        <w:t xml:space="preserve">, cujo julgamento pelo desprovimento ocorreu em outubro de 2020, agora sob a relatoria do </w:t>
      </w:r>
      <w:r w:rsidRPr="23C96B68">
        <w:rPr>
          <w:rFonts w:ascii="Times New Roman" w:eastAsia="Times New Roman" w:hAnsi="Times New Roman"/>
          <w:b/>
          <w:bCs/>
          <w:color w:val="000000" w:themeColor="text1"/>
          <w:sz w:val="26"/>
          <w:szCs w:val="26"/>
        </w:rPr>
        <w:t>Ministro Dias Toffoli</w:t>
      </w:r>
      <w:r w:rsidRPr="23C96B68">
        <w:rPr>
          <w:rFonts w:ascii="Times New Roman" w:eastAsia="Times New Roman" w:hAnsi="Times New Roman"/>
          <w:color w:val="000000" w:themeColor="text1"/>
          <w:sz w:val="26"/>
          <w:szCs w:val="26"/>
        </w:rPr>
        <w:t xml:space="preserve">, confirmando a aplicação analógica da modulação do RE 638115 ao caso, entendendo que não pode haver corte remuneratório ou compensação retroativa, como pretende o TCU. Assim ficou consignado o voto do Ministro Toffoli, acompanhado à </w:t>
      </w:r>
      <w:r w:rsidRPr="23C96B68">
        <w:rPr>
          <w:rFonts w:ascii="Times New Roman" w:eastAsia="Times New Roman" w:hAnsi="Times New Roman"/>
          <w:b/>
          <w:bCs/>
          <w:color w:val="000000" w:themeColor="text1"/>
          <w:sz w:val="26"/>
          <w:szCs w:val="26"/>
        </w:rPr>
        <w:t>unanimidade</w:t>
      </w:r>
      <w:r w:rsidRPr="23C96B68">
        <w:rPr>
          <w:rFonts w:ascii="Times New Roman" w:eastAsia="Times New Roman" w:hAnsi="Times New Roman"/>
          <w:color w:val="000000" w:themeColor="text1"/>
          <w:sz w:val="26"/>
          <w:szCs w:val="26"/>
        </w:rPr>
        <w:t xml:space="preserve"> pela Primeira Turma do STF:</w:t>
      </w:r>
    </w:p>
    <w:p w14:paraId="7C0C9BDD" w14:textId="26D79F13"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2795BF50" w14:textId="4D61D60C"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“Restou, então, expresso o fundamento quanto à possibilidade, de aplicação, ao caso, de precedente desta Suprema Corte, apreciado sob a sistemática da repercussão geral. Bem por isso, foi proferida ordem, no sentido de que o TCU reaprecie a questão, segundo os termos desse paradigma, então indicado, bem como da modulação  que  se  seguiu,  o  que  em  absoluto  constitui  contradição  com  os termos  daquela  decisão,  podendo  a  embargante,  futuramente,  insurgir-se contra a nova decisão a ser proferida pela Corte de Contas, se discordar de seus termos. As  demais  alegações  da  embargante,  relacionadas  à  inaplicabilidade  da Repercussão  Geral  (RE  638-115-RG)  ao  caso  dos  autos  não  merecem acolhida,  tendo  em  vista  a  possibilidade  de  identificação,  do  presente  caso, com  uma  das  três  hipóteses  de  entendimento  consolidadas  naquele  RE, quando   do   julgamento   dos   embargos   de   declaração   e   consequente modulação  de  seus  efeitos,  conforme  a  seguinte  citação  de  trecho  do acórdão: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w:t>
      </w:r>
    </w:p>
    <w:p w14:paraId="4F05783F" w14:textId="1C43EB3C"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w:t>
      </w:r>
      <w:r w:rsidRPr="23C96B68">
        <w:rPr>
          <w:rFonts w:ascii="Times New Roman" w:eastAsia="Times New Roman" w:hAnsi="Times New Roman"/>
          <w:b/>
          <w:bCs/>
          <w:color w:val="000000" w:themeColor="text1"/>
        </w:rPr>
        <w:t xml:space="preserve">MS 36869 AgR-ED, Relator(a): Min. DIAS TOFFOLI, Ata de Julgamento Publicada, DJE ATA Nº 31, de 20/10/2020. DJE nº 257, divulgado em 23/10/2020, </w:t>
      </w:r>
      <w:r w:rsidRPr="23C96B68">
        <w:rPr>
          <w:rFonts w:ascii="Times New Roman" w:eastAsia="Times New Roman" w:hAnsi="Times New Roman"/>
          <w:color w:val="000000" w:themeColor="text1"/>
        </w:rPr>
        <w:t>Decisão: A Turma, por unanimidade, rejeitou os embargos de declaração, nos termos do voto do Relator. Primeira Turma, Sessão Virtual de 9.10.2020 a 19.10.2020)</w:t>
      </w:r>
    </w:p>
    <w:p w14:paraId="08770BCA" w14:textId="24E34ADE" w:rsidR="6E1B75D1" w:rsidRDefault="6E1B75D1" w:rsidP="23C96B68">
      <w:pPr>
        <w:spacing w:after="0" w:line="240" w:lineRule="auto"/>
        <w:ind w:left="1701"/>
        <w:jc w:val="both"/>
        <w:rPr>
          <w:rFonts w:ascii="Times New Roman" w:eastAsia="Times New Roman" w:hAnsi="Times New Roman"/>
          <w:color w:val="000000" w:themeColor="text1"/>
        </w:rPr>
      </w:pPr>
    </w:p>
    <w:p w14:paraId="36E2E134" w14:textId="3DBDA8D0"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O voto do Ministro Toffoli no MS 36869 foi seguido pelos Ministros </w:t>
      </w:r>
      <w:r w:rsidRPr="23C96B68">
        <w:rPr>
          <w:rFonts w:ascii="Times New Roman" w:eastAsia="Times New Roman" w:hAnsi="Times New Roman"/>
          <w:b/>
          <w:bCs/>
          <w:color w:val="000000" w:themeColor="text1"/>
          <w:sz w:val="26"/>
          <w:szCs w:val="26"/>
        </w:rPr>
        <w:t>Marco Aurélio</w:t>
      </w:r>
      <w:r w:rsidRPr="23C96B68">
        <w:rPr>
          <w:rFonts w:ascii="Times New Roman" w:eastAsia="Times New Roman" w:hAnsi="Times New Roman"/>
          <w:color w:val="000000" w:themeColor="text1"/>
          <w:sz w:val="26"/>
          <w:szCs w:val="26"/>
        </w:rPr>
        <w:t xml:space="preserve">, </w:t>
      </w:r>
      <w:r w:rsidRPr="23C96B68">
        <w:rPr>
          <w:rFonts w:ascii="Times New Roman" w:eastAsia="Times New Roman" w:hAnsi="Times New Roman"/>
          <w:b/>
          <w:bCs/>
          <w:color w:val="000000" w:themeColor="text1"/>
          <w:sz w:val="26"/>
          <w:szCs w:val="26"/>
        </w:rPr>
        <w:t>Rosa Weber</w:t>
      </w:r>
      <w:r w:rsidRPr="23C96B68">
        <w:rPr>
          <w:rFonts w:ascii="Times New Roman" w:eastAsia="Times New Roman" w:hAnsi="Times New Roman"/>
          <w:color w:val="000000" w:themeColor="text1"/>
          <w:sz w:val="26"/>
          <w:szCs w:val="26"/>
        </w:rPr>
        <w:t xml:space="preserve">, </w:t>
      </w:r>
      <w:r w:rsidRPr="23C96B68">
        <w:rPr>
          <w:rFonts w:ascii="Times New Roman" w:eastAsia="Times New Roman" w:hAnsi="Times New Roman"/>
          <w:b/>
          <w:bCs/>
          <w:color w:val="000000" w:themeColor="text1"/>
          <w:sz w:val="26"/>
          <w:szCs w:val="26"/>
        </w:rPr>
        <w:t>Alexandre de Moraes</w:t>
      </w:r>
      <w:r w:rsidRPr="23C96B68">
        <w:rPr>
          <w:rFonts w:ascii="Times New Roman" w:eastAsia="Times New Roman" w:hAnsi="Times New Roman"/>
          <w:color w:val="000000" w:themeColor="text1"/>
          <w:sz w:val="26"/>
          <w:szCs w:val="26"/>
        </w:rPr>
        <w:t xml:space="preserve"> e </w:t>
      </w:r>
      <w:r w:rsidRPr="23C96B68">
        <w:rPr>
          <w:rFonts w:ascii="Times New Roman" w:eastAsia="Times New Roman" w:hAnsi="Times New Roman"/>
          <w:b/>
          <w:bCs/>
          <w:color w:val="000000" w:themeColor="text1"/>
          <w:sz w:val="26"/>
          <w:szCs w:val="26"/>
        </w:rPr>
        <w:t>Luís Roberto Barroso</w:t>
      </w:r>
      <w:r w:rsidRPr="23C96B68">
        <w:rPr>
          <w:rFonts w:ascii="Times New Roman" w:eastAsia="Times New Roman" w:hAnsi="Times New Roman"/>
          <w:color w:val="000000" w:themeColor="text1"/>
          <w:sz w:val="26"/>
          <w:szCs w:val="26"/>
        </w:rPr>
        <w:t>. Em resumo, mesmo que se considere a possiblidade de suspensão de pagamento da VPNI, a solução é diversa daquela supostamente sustentada pela demandada. Para tanto, basta verificar adequadamente o precedente invocado (MS 36869), o primeiro que trata da questão de fundo dos oficiais de justiça de maneira detalhada, aplicando - por analogia - a modulação do RE 638115.</w:t>
      </w:r>
    </w:p>
    <w:p w14:paraId="29C5C765" w14:textId="015438BA"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5384A23B" w14:textId="68C6D134"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lastRenderedPageBreak/>
        <w:t xml:space="preserve">Se não fosse suficiente, outras decisões recentes do </w:t>
      </w:r>
      <w:r w:rsidRPr="23C96B68">
        <w:rPr>
          <w:rFonts w:ascii="Times New Roman" w:eastAsia="Times New Roman" w:hAnsi="Times New Roman"/>
          <w:b/>
          <w:bCs/>
          <w:color w:val="000000" w:themeColor="text1"/>
          <w:sz w:val="26"/>
          <w:szCs w:val="26"/>
          <w:u w:val="single"/>
        </w:rPr>
        <w:t>STF</w:t>
      </w:r>
      <w:r w:rsidRPr="23C96B68">
        <w:rPr>
          <w:rFonts w:ascii="Times New Roman" w:eastAsia="Times New Roman" w:hAnsi="Times New Roman"/>
          <w:color w:val="000000" w:themeColor="text1"/>
          <w:sz w:val="26"/>
          <w:szCs w:val="26"/>
        </w:rPr>
        <w:t xml:space="preserve"> evoluíram na interpretação de situações análogas, determinando a manutenção da VPNI na folha de pagamento, como </w:t>
      </w:r>
      <w:r w:rsidRPr="23C96B68">
        <w:rPr>
          <w:rFonts w:ascii="Times New Roman" w:eastAsia="Times New Roman" w:hAnsi="Times New Roman"/>
          <w:b/>
          <w:bCs/>
          <w:color w:val="000000" w:themeColor="text1"/>
          <w:sz w:val="26"/>
          <w:szCs w:val="26"/>
        </w:rPr>
        <w:t>parcela compensatória, a ser absorvida por reajustes futuros</w:t>
      </w:r>
      <w:r w:rsidRPr="23C96B68">
        <w:rPr>
          <w:rFonts w:ascii="Times New Roman" w:eastAsia="Times New Roman" w:hAnsi="Times New Roman"/>
          <w:color w:val="000000" w:themeColor="text1"/>
          <w:sz w:val="26"/>
          <w:szCs w:val="26"/>
        </w:rPr>
        <w:t xml:space="preserve">. Nesse sentido, foram os julgamentos do </w:t>
      </w:r>
      <w:r w:rsidRPr="23C96B68">
        <w:rPr>
          <w:rFonts w:ascii="Times New Roman" w:eastAsia="Times New Roman" w:hAnsi="Times New Roman"/>
          <w:b/>
          <w:bCs/>
          <w:color w:val="000000" w:themeColor="text1"/>
          <w:sz w:val="26"/>
          <w:szCs w:val="26"/>
          <w:u w:val="single"/>
        </w:rPr>
        <w:t>MS 36744</w:t>
      </w:r>
      <w:r w:rsidRPr="23C96B68">
        <w:rPr>
          <w:rFonts w:ascii="Times New Roman" w:eastAsia="Times New Roman" w:hAnsi="Times New Roman"/>
          <w:color w:val="000000" w:themeColor="text1"/>
          <w:sz w:val="26"/>
          <w:szCs w:val="26"/>
        </w:rPr>
        <w:t xml:space="preserve"> e do </w:t>
      </w:r>
      <w:r w:rsidRPr="23C96B68">
        <w:rPr>
          <w:rFonts w:ascii="Times New Roman" w:eastAsia="Times New Roman" w:hAnsi="Times New Roman"/>
          <w:b/>
          <w:bCs/>
          <w:color w:val="000000" w:themeColor="text1"/>
          <w:sz w:val="26"/>
          <w:szCs w:val="26"/>
          <w:u w:val="single"/>
        </w:rPr>
        <w:t>MS 31244</w:t>
      </w:r>
      <w:r w:rsidRPr="23C96B68">
        <w:rPr>
          <w:rFonts w:ascii="Times New Roman" w:eastAsia="Times New Roman" w:hAnsi="Times New Roman"/>
          <w:b/>
          <w:bCs/>
          <w:color w:val="000000" w:themeColor="text1"/>
          <w:sz w:val="26"/>
          <w:szCs w:val="26"/>
        </w:rPr>
        <w:t xml:space="preserve">, </w:t>
      </w:r>
      <w:r w:rsidRPr="23C96B68">
        <w:rPr>
          <w:rFonts w:ascii="Times New Roman" w:eastAsia="Times New Roman" w:hAnsi="Times New Roman"/>
          <w:color w:val="000000" w:themeColor="text1"/>
          <w:sz w:val="26"/>
          <w:szCs w:val="26"/>
        </w:rPr>
        <w:t>vejamos as ementas:</w:t>
      </w:r>
    </w:p>
    <w:p w14:paraId="4E4F61FE" w14:textId="0A623437"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51088FA9" w14:textId="7B2785BB"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AGRAVO REGIMENTAL EM MANDADO DE SEGURANÇA. ADMINISTRATIVO. SERVIDOR PÚBLICO. ATO DO TRIBUNAL DE CONTAS DA UNIÃO. INCORPORAÇÃO DE QUINTOS PELO EXERCÍCIO DE FUNÇÃO COMISSIONADA ENTRE A EDIÇÃO DA LEI 9.624/1998 E A MEDIDA PROVISÓRIA 2.225-48/2001. ILEGALIDADE. POSSIBILIDADE DE APLICAÇÃO IMEDIATA DOS ENTENDIMENTOS FIRMADOS PELO PLENÁRIO DO SUPREMO TRIBUNAL FEDERAL EM REPERCUSSÃO GERAL, INDEPENDENTEMENTE DO TRÂNSITO EM JULGADO DO PARADIGMA. RE 638115.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REPÚBLICA.AGRAVO REGIMENTAL A QUE SE DÁ PARCIAL PROVIMENTO. [...] 4. Ocorre que, supervenientemente, houve a modulação dos efeitos da decisão anteriormente proferida no Recurso Extraordinário n. 638.115, em sede de repercussão geral (RE 638.115-ED-ED, Min. Rel. Gilmar Mendes, Tribunal Pleno, DJe em 31/1/2020). 5. Consectariamente,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6.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7. De fato, o enfrentamento de questões afetas à Corte de Contas firmam-se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8. Nesse sentido, há maior </w:t>
      </w:r>
      <w:r w:rsidRPr="23C96B68">
        <w:rPr>
          <w:rFonts w:ascii="Times New Roman" w:eastAsia="Times New Roman" w:hAnsi="Times New Roman"/>
          <w:color w:val="000000" w:themeColor="text1"/>
        </w:rPr>
        <w:lastRenderedPageBreak/>
        <w:t>razoabilidade em delegar ao próprio órgão que reavalie a decisão, porém em estrita observância às novas balizas desta Suprema Corte. 9. Agravo regimental a que se dá PARCIAL PROVIMENTO, apenas para que o Tribunal de Contas da União, nos autos do processo de Tomada de Contas 034.306/2011-0, analise novamente o pleito da agravante observando a nova orientação proferida pelo Plenário deste Supremo Tribunal Federal (RE 638.115-ED-ED, Min. Rel. Gilmar Mendes, Tribunal Pleno, DJe em 31/1/2020).</w:t>
      </w:r>
    </w:p>
    <w:p w14:paraId="7386278A" w14:textId="7D7795E3" w:rsidR="6E1B75D1" w:rsidRDefault="439AF0C7" w:rsidP="23C96B68">
      <w:pPr>
        <w:spacing w:after="0" w:line="240" w:lineRule="auto"/>
        <w:ind w:left="1701"/>
        <w:jc w:val="both"/>
        <w:rPr>
          <w:rFonts w:ascii="Times New Roman" w:eastAsia="Times New Roman" w:hAnsi="Times New Roman"/>
          <w:color w:val="000000" w:themeColor="text1"/>
          <w:sz w:val="17"/>
          <w:szCs w:val="17"/>
        </w:rPr>
      </w:pPr>
      <w:r w:rsidRPr="23C96B68">
        <w:rPr>
          <w:rFonts w:ascii="Times New Roman" w:eastAsia="Times New Roman" w:hAnsi="Times New Roman"/>
          <w:b/>
          <w:bCs/>
          <w:color w:val="000000" w:themeColor="text1"/>
        </w:rPr>
        <w:t>(MS 36744 AgR, Relator(a): LUIZ FUX, Primeira Turma, julgado em 22/05/2020, PROCESSO ELETRÔNICO DJe-151 DIVULG 17-06-2020 PUBLIC 18-06-2020)</w:t>
      </w:r>
      <w:r w:rsidRPr="23C96B68">
        <w:rPr>
          <w:rFonts w:ascii="Times New Roman" w:eastAsia="Times New Roman" w:hAnsi="Times New Roman"/>
          <w:b/>
          <w:bCs/>
          <w:color w:val="000000" w:themeColor="text1"/>
          <w:vertAlign w:val="superscript"/>
        </w:rPr>
        <w:t>19</w:t>
      </w:r>
    </w:p>
    <w:p w14:paraId="674A3E95" w14:textId="5A31E752" w:rsidR="6E1B75D1" w:rsidRDefault="6E1B75D1" w:rsidP="23C96B68">
      <w:pPr>
        <w:spacing w:after="0" w:line="240" w:lineRule="auto"/>
        <w:ind w:firstLine="1701"/>
        <w:jc w:val="both"/>
        <w:rPr>
          <w:rFonts w:ascii="Times New Roman" w:eastAsia="Times New Roman" w:hAnsi="Times New Roman"/>
          <w:color w:val="000000" w:themeColor="text1"/>
        </w:rPr>
      </w:pPr>
    </w:p>
    <w:p w14:paraId="1BC90986" w14:textId="099A3499"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Ementa: AGRAVO REGIMENTAL EM MANDADO DE SEGURANÇA. ATO DO TRIBUNAL DE CONTAS DA UNIÃO. ATIVIDADE FISCALIZADORA. INSPEÇÃO. [...] CUMULAÇÃO DE VALOR INTEGRAL DE FUNÇÃO COMISSIONADA OU CARGO EM COMISSÃO COM REMUNERAÇÃO DE CARGO EFETIVO. VANTAGEM CONCEDIDA PELA ADMINISTRAÇÃO PÚBLICA. PERCENTUAL DE 10,87% (IPCr). DECORRÊNCIA DO CUMPRIMENTO DE DECISÕES JUDICIAIS. SEGURANÇA CONCEDIDA PARCIALMENTE. RE 638115.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 AGRAVO REGIMENTAL PARCIALMENTE PROVIDO[...] 5. O Plenário deste Supremo Tribunal Federal, no julgamento do Recurso Extraordinário n. 638.115 (Rel. Min. Gilmar Mendes, DJe de 3/8/2015), decidiu, em sede repercussão geral, pela inconstitucionalidade da incorporação de quintos decorrentes do exercício de funções comissionadas no período compreendido entre a edição da Lei 9.624/1998 e a edição da Medida Provisória 2.225-48/2001. Ocorre que, supervenientemente, houve a modulação dos efeitos da decisão anteriormente proferida no Recurso Extraordinário n. 638.115, em sede de repercussão geral (RE 638.115-ED-ED, Min. Rel. Gilmar Mendes, Tribunal Pleno, DJe em 31/1/2020). 6. Consectariamente,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7. Deveras, a prudência democrática e o entendimento desta Corte apontam para a presunção da melhor capacidade institucional e habilitação técnica do Tribunal de Contas da União para analisar as particularidades do caso </w:t>
      </w:r>
      <w:r w:rsidRPr="23C96B68">
        <w:rPr>
          <w:rFonts w:ascii="Times New Roman" w:eastAsia="Times New Roman" w:hAnsi="Times New Roman"/>
          <w:color w:val="000000" w:themeColor="text1"/>
        </w:rPr>
        <w:lastRenderedPageBreak/>
        <w:t>concreto da agravante, podendo o órgão deliberar com maior vagar e expertise sobre eventuais outras questões fático-probatórias. É que além de suas decisões serem amparadas em juízo de expertise sobre o tema, o Tribunal de Contas é o órgão constitucionalmente habilitado para assinar prazo para que o órgão ou entidade adote as providências necessárias ao exato cumprimento da lei, se verificada ilegalidade (art. 71, IX, da Constituição Federal). 8. Nesse sentido, há maior razoabilidade em delegar ao próprio órgão que reavalie a decisão, porém em estrita observância às novas balizas desta Suprema Corte. 9. Agravo regimental a que se dá PARCIAL PROVIMENTO unicamente para que o Tribunal de Contas da União, nos autos do processo de Tomada de Contas (TC) 026.294/2016-8, analise novamente o pleito do agravante: (i) no que diz respeito aos quintos e décimos/VPNI, observando a nova orientação proferida pelo Plenário deste Supremo Tribunal Federal, no bojo do RE n. 638.115 (RE 638.115-ED-ED, Min. Rel. Gilmar Mendes, Tribunal Pleno, DJe em 31/1/2020); (ii) no que concerne às parcelas do IPCr, mantida sua correta determinação de ilegalidade pelo TCU, porém sem determinar a devolução das quantias recebidas a maior pelos substituídos do sindicato impetrante, pois revestidas de boa-fé e fruto de erro da própria Administração do TJDFT.</w:t>
      </w:r>
    </w:p>
    <w:p w14:paraId="19C5DAED" w14:textId="60A3267B"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w:t>
      </w:r>
      <w:r w:rsidRPr="23C96B68">
        <w:rPr>
          <w:rFonts w:ascii="Times New Roman" w:eastAsia="Times New Roman" w:hAnsi="Times New Roman"/>
          <w:b/>
          <w:bCs/>
          <w:color w:val="000000" w:themeColor="text1"/>
        </w:rPr>
        <w:t>MS 31244 AgR, Relator(a): LUIZ FUX, Primeira Turma, julgado em 22/05/2020, PROCESSO ELETRÔNICO DJe-151 DIVULG 17-06-2020 PUBLIC 18-06-2020</w:t>
      </w:r>
      <w:r w:rsidRPr="23C96B68">
        <w:rPr>
          <w:rFonts w:ascii="Times New Roman" w:eastAsia="Times New Roman" w:hAnsi="Times New Roman"/>
          <w:color w:val="000000" w:themeColor="text1"/>
        </w:rPr>
        <w:t>)</w:t>
      </w:r>
    </w:p>
    <w:p w14:paraId="2AEFFE8F" w14:textId="53DBB690"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6EA14BE8" w14:textId="3FFAE854"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Com tais decisões, confirma-se o desacerto do que pretende a Administração neste caso de VPNI + GAE, pois, mesmo que se reconheça essa possibilidade, em nome do princípio da eventualidade processual, a solução é a transformação em parcela compensatória a ser absorvida por reajustes </w:t>
      </w:r>
      <w:r w:rsidRPr="23C96B68">
        <w:rPr>
          <w:rFonts w:ascii="Times New Roman" w:eastAsia="Times New Roman" w:hAnsi="Times New Roman"/>
          <w:b/>
          <w:bCs/>
          <w:color w:val="000000" w:themeColor="text1"/>
          <w:sz w:val="26"/>
          <w:szCs w:val="26"/>
        </w:rPr>
        <w:t>futuros</w:t>
      </w:r>
      <w:r w:rsidRPr="23C96B68">
        <w:rPr>
          <w:rFonts w:ascii="Times New Roman" w:eastAsia="Times New Roman" w:hAnsi="Times New Roman"/>
          <w:color w:val="000000" w:themeColor="text1"/>
          <w:sz w:val="26"/>
          <w:szCs w:val="26"/>
        </w:rPr>
        <w:t>, a partir da decisão definitiva que envolva, mediante notificação individual, o servidor prejudicado. Logo, não há de se cogitar o corte ou a retroatividade compensatória.</w:t>
      </w:r>
    </w:p>
    <w:p w14:paraId="429C47A3" w14:textId="25B94C32" w:rsidR="6E1B75D1" w:rsidRDefault="6E1B75D1" w:rsidP="23C96B68">
      <w:pPr>
        <w:spacing w:after="0" w:line="240" w:lineRule="auto"/>
        <w:ind w:firstLine="1695"/>
        <w:jc w:val="both"/>
        <w:rPr>
          <w:rFonts w:ascii="Times New Roman" w:eastAsia="Times New Roman" w:hAnsi="Times New Roman"/>
          <w:color w:val="000000" w:themeColor="text1"/>
          <w:sz w:val="26"/>
          <w:szCs w:val="26"/>
        </w:rPr>
      </w:pPr>
    </w:p>
    <w:p w14:paraId="04436752" w14:textId="7A0D47B0" w:rsidR="6E1B75D1" w:rsidRDefault="439AF0C7" w:rsidP="23C96B68">
      <w:pPr>
        <w:spacing w:after="0" w:line="240" w:lineRule="auto"/>
        <w:jc w:val="both"/>
        <w:rPr>
          <w:rFonts w:ascii="Times New Roman" w:eastAsia="Times New Roman" w:hAnsi="Times New Roman"/>
          <w:color w:val="000000" w:themeColor="text1"/>
          <w:sz w:val="26"/>
          <w:szCs w:val="26"/>
        </w:rPr>
      </w:pPr>
      <w:r w:rsidRPr="23C96B68">
        <w:rPr>
          <w:rFonts w:ascii="Times New Roman" w:eastAsia="Times New Roman" w:hAnsi="Times New Roman"/>
          <w:b/>
          <w:bCs/>
          <w:color w:val="000000" w:themeColor="text1"/>
          <w:sz w:val="26"/>
          <w:szCs w:val="26"/>
        </w:rPr>
        <w:t xml:space="preserve">3.2. </w:t>
      </w:r>
      <w:r w:rsidRPr="23C96B68">
        <w:rPr>
          <w:rFonts w:ascii="Times New Roman" w:eastAsia="Times New Roman" w:hAnsi="Times New Roman"/>
          <w:b/>
          <w:bCs/>
          <w:color w:val="000000" w:themeColor="text1"/>
          <w:sz w:val="26"/>
          <w:szCs w:val="26"/>
          <w:u w:val="single"/>
        </w:rPr>
        <w:t>Outros precedentes judiciais pela decadência, legalidade ou compensação futura da VPNI dos Oficiais de Justiça Avaliadores Federais</w:t>
      </w:r>
    </w:p>
    <w:p w14:paraId="351652FB" w14:textId="00A46AE7" w:rsidR="6E1B75D1" w:rsidRDefault="6E1B75D1" w:rsidP="23C96B68">
      <w:pPr>
        <w:spacing w:after="0" w:line="240" w:lineRule="auto"/>
        <w:jc w:val="both"/>
        <w:rPr>
          <w:rFonts w:ascii="Times New Roman" w:eastAsia="Times New Roman" w:hAnsi="Times New Roman"/>
          <w:color w:val="000000" w:themeColor="text1"/>
          <w:sz w:val="26"/>
          <w:szCs w:val="26"/>
        </w:rPr>
      </w:pPr>
    </w:p>
    <w:p w14:paraId="477C2468" w14:textId="596E1506"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O equivocado entendimento da Corte de Contas no Acórdão 2.784/2016 apontou a impossibilidade de manter o ato de aposentadoria de alguns Oficiais de Justiça Avaliadores Federais vinculados ao Tribunal Regional Federal da 2ª Região, com a percepção conjunta da GAE e da VPNI decorrente de quintos, quando estes têm origem</w:t>
      </w:r>
      <w:r w:rsidRPr="23C96B68">
        <w:rPr>
          <w:rFonts w:cs="Calibri"/>
          <w:color w:val="000000" w:themeColor="text1"/>
        </w:rPr>
        <w:t xml:space="preserve"> </w:t>
      </w:r>
      <w:r w:rsidRPr="23C96B68">
        <w:rPr>
          <w:rFonts w:ascii="Times New Roman" w:eastAsia="Times New Roman" w:hAnsi="Times New Roman"/>
          <w:color w:val="000000" w:themeColor="text1"/>
          <w:sz w:val="26"/>
          <w:szCs w:val="26"/>
        </w:rPr>
        <w:t>na Função Comissionada de nível 5 ou Gratificação de Representação de Gabinete (GRG).</w:t>
      </w:r>
    </w:p>
    <w:p w14:paraId="30A80FCA" w14:textId="7ACB20ED"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47E69D1D" w14:textId="010550A7"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Os efeitos do procedimento determinado pelo TCU foram combatidos em Juízo, em ação coletiva do Sisejufe-RJ (Processo n° </w:t>
      </w:r>
      <w:r w:rsidRPr="23C96B68">
        <w:rPr>
          <w:rFonts w:ascii="Times New Roman" w:eastAsia="Times New Roman" w:hAnsi="Times New Roman"/>
          <w:b/>
          <w:bCs/>
          <w:color w:val="000000" w:themeColor="text1"/>
          <w:sz w:val="26"/>
          <w:szCs w:val="26"/>
        </w:rPr>
        <w:t>0098714-30.2017.4.02.5101</w:t>
      </w:r>
      <w:r w:rsidRPr="23C96B68">
        <w:rPr>
          <w:rFonts w:ascii="Times New Roman" w:eastAsia="Times New Roman" w:hAnsi="Times New Roman"/>
          <w:color w:val="000000" w:themeColor="text1"/>
          <w:sz w:val="26"/>
          <w:szCs w:val="26"/>
        </w:rPr>
        <w:t xml:space="preserve">, 5ª Turma Especializada do </w:t>
      </w:r>
      <w:r w:rsidRPr="23C96B68">
        <w:rPr>
          <w:rFonts w:ascii="Times New Roman" w:eastAsia="Times New Roman" w:hAnsi="Times New Roman"/>
          <w:b/>
          <w:bCs/>
          <w:color w:val="000000" w:themeColor="text1"/>
          <w:sz w:val="26"/>
          <w:szCs w:val="26"/>
        </w:rPr>
        <w:t>Tribunal Regional Federal da 2ª Região</w:t>
      </w:r>
      <w:r w:rsidRPr="23C96B68">
        <w:rPr>
          <w:rFonts w:ascii="Times New Roman" w:eastAsia="Times New Roman" w:hAnsi="Times New Roman"/>
          <w:color w:val="000000" w:themeColor="text1"/>
          <w:sz w:val="26"/>
          <w:szCs w:val="26"/>
        </w:rPr>
        <w:t>, 29/05/2018), com acórdão favorável à manutenção das parcelas de VPNI, sem prejuízo da GAE, assim ementado:</w:t>
      </w:r>
    </w:p>
    <w:p w14:paraId="5B75F2C1" w14:textId="76FE0349"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710DE934" w14:textId="4DE719E1"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lastRenderedPageBreak/>
        <w:t>ADMINISTRATIVO. SERVIDOR CIVIL. GAE E VPNI. NATUREZAS DISTINTAS. CUMULAÇÃO. POSSIBILIDADE. SEGURANÇA JURÍDICA. RECURSO PROVIDO.</w:t>
      </w:r>
    </w:p>
    <w:p w14:paraId="61DEB0D1" w14:textId="754A0D82"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Em recente julgado, o Supremo Tribunal Federal, por ocasião da apreciação da Medida Cautelar no MS: 35193 DF, deferiu liminar, adotando posicionamento no sentido da possibilidade de cumulação das verbas em questão, VPNI e GAJ, tendo em vista os princípios da segurança jurídica, bem como o da legítima confiança. 4. Ademais, a condicionante imposta pelas autoridades coatoras aos servidores para o exercício do direito à aposentadoria representa uma medida contrária aos princípios norteadores do ordenamento jurídico, pois, além de violar a segurança jurídica consubstanciada por anos de percepção de verbas supostamente de natureza idêntica, restringe o direito à aposentadoria desproporcionalmente, de forma arbitrária, tendo em vista a aplicabilidade do entendimento proferido pelo Acórdão 2.784/2016 do TCU, que não possui força vinculante, sem oportunizar o oferecimento do contraditório e da ampla defesa aos substituídos. 5. Há que se destacar que a lei instituidora da gratificação em comento, Lei 11.416/2006, não fez qualquer restrição em relação aos servidores que percebiam outras gratificações e onde a lei não restringiu, não cabe ao intérprete do direito fazê-lo, principalmente para reduzir direitos. Logo, cabível a percepção conjunta da GAE com a VPNI, relativa à incorporação dos quintos. 6. Apelação provida, para determinar que as autoridades coatoras se eximam de exigir a opção por parte dos substituídos, reconhecendo-lhes o direito à cumulação da GAE com a VPNI, conforme pleiteado na inicial.</w:t>
      </w:r>
    </w:p>
    <w:p w14:paraId="69888FDD" w14:textId="2DB083F8"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b/>
          <w:bCs/>
          <w:color w:val="000000" w:themeColor="text1"/>
        </w:rPr>
        <w:t>(TRF2, Apelação Cível, Processo 0098714-30.2017.4.02.5101, 5ª Turma Especializada, relator Desembargador Federal ALCIDES MARTINS, disponibilizado no e-DJF2R em 12/06/2018, às folhas 382-409, com data formal de publicação em13/06/2018)</w:t>
      </w:r>
    </w:p>
    <w:p w14:paraId="4217245A" w14:textId="71497E4E"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7AE084B6" w14:textId="702C44DF"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O supracitado acórdão do TRF2 está prestes a transitar em julgado no </w:t>
      </w:r>
      <w:r w:rsidRPr="23C96B68">
        <w:rPr>
          <w:rFonts w:ascii="Times New Roman" w:eastAsia="Times New Roman" w:hAnsi="Times New Roman"/>
          <w:b/>
          <w:bCs/>
          <w:color w:val="000000" w:themeColor="text1"/>
          <w:sz w:val="26"/>
          <w:szCs w:val="26"/>
        </w:rPr>
        <w:t>Superior Tribunal de Justiça</w:t>
      </w:r>
      <w:r w:rsidRPr="23C96B68">
        <w:rPr>
          <w:rFonts w:ascii="Times New Roman" w:eastAsia="Times New Roman" w:hAnsi="Times New Roman"/>
          <w:color w:val="000000" w:themeColor="text1"/>
          <w:sz w:val="26"/>
          <w:szCs w:val="26"/>
        </w:rPr>
        <w:t xml:space="preserve">, após o STJ negar o recurso especial interposto pela União, bem como o subsequente agravo regimental e embargos declaratórios (STJ, </w:t>
      </w:r>
      <w:r w:rsidRPr="23C96B68">
        <w:rPr>
          <w:rFonts w:ascii="Times New Roman" w:eastAsia="Times New Roman" w:hAnsi="Times New Roman"/>
          <w:b/>
          <w:bCs/>
          <w:color w:val="000000" w:themeColor="text1"/>
          <w:sz w:val="26"/>
          <w:szCs w:val="26"/>
        </w:rPr>
        <w:t>AREsp nº 1602146</w:t>
      </w:r>
      <w:r w:rsidRPr="23C96B68">
        <w:rPr>
          <w:rFonts w:ascii="Times New Roman" w:eastAsia="Times New Roman" w:hAnsi="Times New Roman"/>
          <w:color w:val="000000" w:themeColor="text1"/>
          <w:sz w:val="26"/>
          <w:szCs w:val="26"/>
        </w:rPr>
        <w:t>).</w:t>
      </w:r>
    </w:p>
    <w:p w14:paraId="6C4D2B10" w14:textId="777041ED"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64EDB41E" w14:textId="27EBB93C"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4B702F13" w14:textId="7B8BF85C"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Em mandado de segurança coletivo impetrado pelo Sindjufe-MS, o </w:t>
      </w:r>
      <w:r w:rsidRPr="23C96B68">
        <w:rPr>
          <w:rFonts w:ascii="Times New Roman" w:eastAsia="Times New Roman" w:hAnsi="Times New Roman"/>
          <w:b/>
          <w:bCs/>
          <w:color w:val="000000" w:themeColor="text1"/>
          <w:sz w:val="26"/>
          <w:szCs w:val="26"/>
        </w:rPr>
        <w:t>TRT da 24ª Região</w:t>
      </w:r>
      <w:r w:rsidRPr="23C96B68">
        <w:rPr>
          <w:rFonts w:ascii="Times New Roman" w:eastAsia="Times New Roman" w:hAnsi="Times New Roman"/>
          <w:color w:val="000000" w:themeColor="text1"/>
          <w:sz w:val="26"/>
          <w:szCs w:val="26"/>
        </w:rPr>
        <w:t xml:space="preserve"> concedeu a segurança no julgamento do MS n° </w:t>
      </w:r>
      <w:r w:rsidRPr="23C96B68">
        <w:rPr>
          <w:rFonts w:ascii="Times New Roman" w:eastAsia="Times New Roman" w:hAnsi="Times New Roman"/>
          <w:b/>
          <w:bCs/>
          <w:color w:val="000000" w:themeColor="text1"/>
          <w:sz w:val="26"/>
          <w:szCs w:val="26"/>
        </w:rPr>
        <w:t>0024015-44.2020.5.24.0000</w:t>
      </w:r>
      <w:r w:rsidRPr="23C96B68">
        <w:rPr>
          <w:rFonts w:ascii="Times New Roman" w:eastAsia="Times New Roman" w:hAnsi="Times New Roman"/>
          <w:color w:val="000000" w:themeColor="text1"/>
          <w:sz w:val="26"/>
          <w:szCs w:val="26"/>
        </w:rPr>
        <w:t xml:space="preserve">, adotando o mesmo posicionamento do STF no MS 36869. Portanto, determinou a manutenção do pagamento da VPNI até a absorção por reajustes </w:t>
      </w:r>
      <w:r w:rsidRPr="23C96B68">
        <w:rPr>
          <w:rFonts w:ascii="Times New Roman" w:eastAsia="Times New Roman" w:hAnsi="Times New Roman"/>
          <w:b/>
          <w:bCs/>
          <w:color w:val="000000" w:themeColor="text1"/>
          <w:sz w:val="26"/>
          <w:szCs w:val="26"/>
        </w:rPr>
        <w:t>futuros</w:t>
      </w:r>
      <w:r w:rsidRPr="23C96B68">
        <w:rPr>
          <w:rFonts w:ascii="Times New Roman" w:eastAsia="Times New Roman" w:hAnsi="Times New Roman"/>
          <w:color w:val="000000" w:themeColor="text1"/>
          <w:sz w:val="26"/>
          <w:szCs w:val="26"/>
        </w:rPr>
        <w:t>, inadmitindo a “absorção retroativa”. Assim disse o voto condutor do acórdão do TRT24:</w:t>
      </w:r>
    </w:p>
    <w:p w14:paraId="2D7941C4" w14:textId="2BE2B293" w:rsidR="6E1B75D1" w:rsidRDefault="6E1B75D1" w:rsidP="23C96B68">
      <w:pPr>
        <w:spacing w:after="0" w:line="240" w:lineRule="auto"/>
        <w:ind w:left="1701" w:firstLine="1695"/>
        <w:jc w:val="both"/>
        <w:rPr>
          <w:rFonts w:ascii="Times New Roman" w:eastAsia="Times New Roman" w:hAnsi="Times New Roman"/>
          <w:color w:val="000000" w:themeColor="text1"/>
        </w:rPr>
      </w:pPr>
    </w:p>
    <w:p w14:paraId="46329337" w14:textId="113DB1E8"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Ademais, até a decisão proferida no Procedimento Administrativo n. 17.293/2019, o entendimento deste Tribunal Regional do Trabalho era o de que a parcela geradora do VPNI possuía natureza jurídica de função comissionada, e não de gratificação. Por tais motivos, considero, até mesmo com motivação isonômica, </w:t>
      </w:r>
      <w:r w:rsidRPr="23C96B68">
        <w:rPr>
          <w:rFonts w:ascii="Times New Roman" w:eastAsia="Times New Roman" w:hAnsi="Times New Roman"/>
          <w:b/>
          <w:bCs/>
          <w:color w:val="000000" w:themeColor="text1"/>
        </w:rPr>
        <w:t xml:space="preserve">considero aplicável ao caso a modulação de efeitos concretizada pelo Supremo Tribunal Federal na decisão proferida no RE 638.115-ED-ED, no sentido de que "aqueles que continuam recebendo até a presente data em razão de decisão administrativa tenham o pagamento mantido até sua </w:t>
      </w:r>
      <w:r w:rsidRPr="23C96B68">
        <w:rPr>
          <w:rFonts w:ascii="Times New Roman" w:eastAsia="Times New Roman" w:hAnsi="Times New Roman"/>
          <w:b/>
          <w:bCs/>
          <w:color w:val="000000" w:themeColor="text1"/>
        </w:rPr>
        <w:lastRenderedPageBreak/>
        <w:t>absorção integral por quaisquer reajustes futuros concedidos aos servidores".</w:t>
      </w:r>
      <w:r w:rsidRPr="23C96B68">
        <w:rPr>
          <w:rFonts w:ascii="Times New Roman" w:eastAsia="Times New Roman" w:hAnsi="Times New Roman"/>
          <w:color w:val="000000" w:themeColor="text1"/>
        </w:rPr>
        <w:t xml:space="preserve"> Destarte, por considerar aplicável ao caso a modulação de efeitos realizada pelo Excelso Supremo Tribunal Federal CONCEDO a segurança para, ao revés da abrupta interrupção do pagamento da parcela incorporada, seja ela absorvida pelos futuros reajustes salariais concedidos aos servidores do Poder Judiciário em geral.”</w:t>
      </w:r>
    </w:p>
    <w:p w14:paraId="27FC6F0B" w14:textId="47D94CCE"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(TRT24, Pleno, Processo nº 0024015-44.2020.5.24.0000 – MSCol, julgado em 09/07/2020)</w:t>
      </w:r>
    </w:p>
    <w:p w14:paraId="5470540F" w14:textId="50EF89A1"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1C79581B" w14:textId="19C33B5E"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Na</w:t>
      </w:r>
      <w:r w:rsidRPr="23C96B68">
        <w:rPr>
          <w:rFonts w:ascii="Times New Roman" w:eastAsia="Times New Roman" w:hAnsi="Times New Roman"/>
          <w:b/>
          <w:bCs/>
          <w:color w:val="000000" w:themeColor="text1"/>
          <w:sz w:val="26"/>
          <w:szCs w:val="26"/>
        </w:rPr>
        <w:t xml:space="preserve"> Seção Judiciária do Ceará, </w:t>
      </w:r>
      <w:r w:rsidRPr="23C96B68">
        <w:rPr>
          <w:rFonts w:ascii="Times New Roman" w:eastAsia="Times New Roman" w:hAnsi="Times New Roman"/>
          <w:color w:val="000000" w:themeColor="text1"/>
          <w:sz w:val="26"/>
          <w:szCs w:val="26"/>
        </w:rPr>
        <w:t>o processo</w:t>
      </w:r>
      <w:r w:rsidRPr="23C96B68">
        <w:rPr>
          <w:rFonts w:ascii="Times New Roman" w:eastAsia="Times New Roman" w:hAnsi="Times New Roman"/>
          <w:b/>
          <w:bCs/>
          <w:color w:val="000000" w:themeColor="text1"/>
          <w:sz w:val="26"/>
          <w:szCs w:val="26"/>
        </w:rPr>
        <w:t xml:space="preserve"> 0520587-27.2018.4.05.8100S</w:t>
      </w:r>
      <w:r w:rsidRPr="23C96B68">
        <w:rPr>
          <w:rFonts w:ascii="Times New Roman" w:eastAsia="Times New Roman" w:hAnsi="Times New Roman"/>
          <w:color w:val="000000" w:themeColor="text1"/>
          <w:sz w:val="26"/>
          <w:szCs w:val="26"/>
        </w:rPr>
        <w:t xml:space="preserve"> teve sentença de procedência transitada em julgado, onde foi considerado que a GAE possui vedação legal para percepção durante efetivo exercício de função comissionada ou cargo em comissão, enquanto a VPNI foi incorporada antes da criação da GAE, portanto não se configura como exercício de função comissionada e, devido a isso, é possível a cumulação das duas rubricas.</w:t>
      </w:r>
    </w:p>
    <w:p w14:paraId="0B81B61D" w14:textId="5EA7B9F4"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74557891" w14:textId="64CA27E7"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Na </w:t>
      </w:r>
      <w:r w:rsidRPr="23C96B68">
        <w:rPr>
          <w:rFonts w:ascii="Times New Roman" w:eastAsia="Times New Roman" w:hAnsi="Times New Roman"/>
          <w:b/>
          <w:bCs/>
          <w:color w:val="000000" w:themeColor="text1"/>
          <w:sz w:val="26"/>
          <w:szCs w:val="26"/>
        </w:rPr>
        <w:t xml:space="preserve">Seção Judiciária do Distrito Federal </w:t>
      </w:r>
      <w:r w:rsidRPr="23C96B68">
        <w:rPr>
          <w:rFonts w:ascii="Times New Roman" w:eastAsia="Times New Roman" w:hAnsi="Times New Roman"/>
          <w:color w:val="000000" w:themeColor="text1"/>
          <w:sz w:val="26"/>
          <w:szCs w:val="26"/>
        </w:rPr>
        <w:t>(6ª Vara Cível), o                      processo</w:t>
      </w:r>
      <w:r w:rsidRPr="23C96B68">
        <w:rPr>
          <w:rFonts w:ascii="Times New Roman" w:eastAsia="Times New Roman" w:hAnsi="Times New Roman"/>
          <w:b/>
          <w:bCs/>
          <w:color w:val="000000" w:themeColor="text1"/>
          <w:sz w:val="26"/>
          <w:szCs w:val="26"/>
        </w:rPr>
        <w:t xml:space="preserve"> 1013833-87.2020.4.01.3400</w:t>
      </w:r>
      <w:r w:rsidRPr="23C96B68">
        <w:rPr>
          <w:rFonts w:ascii="Times New Roman" w:eastAsia="Times New Roman" w:hAnsi="Times New Roman"/>
          <w:color w:val="000000" w:themeColor="text1"/>
          <w:sz w:val="26"/>
          <w:szCs w:val="26"/>
        </w:rPr>
        <w:t xml:space="preserve"> teve sentença de procedência para reconhecer a </w:t>
      </w:r>
      <w:r w:rsidRPr="23C96B68">
        <w:rPr>
          <w:rFonts w:ascii="Times New Roman" w:eastAsia="Times New Roman" w:hAnsi="Times New Roman"/>
          <w:b/>
          <w:bCs/>
          <w:color w:val="000000" w:themeColor="text1"/>
          <w:sz w:val="26"/>
          <w:szCs w:val="26"/>
        </w:rPr>
        <w:t>decadência</w:t>
      </w:r>
      <w:r w:rsidRPr="23C96B68">
        <w:rPr>
          <w:rFonts w:ascii="Times New Roman" w:eastAsia="Times New Roman" w:hAnsi="Times New Roman"/>
          <w:color w:val="000000" w:themeColor="text1"/>
          <w:sz w:val="26"/>
          <w:szCs w:val="26"/>
        </w:rPr>
        <w:t xml:space="preserve"> do direito de a administração pública cortar a parcela de VPNI recebida conjuntamente com a GAE. Diz a sentença:                                                                                                                      </w:t>
      </w:r>
    </w:p>
    <w:p w14:paraId="63B68E78" w14:textId="37ABF54C"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271FF142" w14:textId="693B4E2E" w:rsidR="6E1B75D1" w:rsidRDefault="439AF0C7" w:rsidP="23C96B68">
      <w:pPr>
        <w:spacing w:after="0" w:line="240" w:lineRule="auto"/>
        <w:ind w:left="1701" w:right="15" w:hanging="6"/>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"Contudo, o recebimento dessas verbas está protegido pela segurança jurídica, e as conclusões acima assinaladas deveriam ter sido aventadas no prazo decadencial. Como já assinalado, os quintos incorporados, transformados em VPNI, e a GAE são pagos, cumulativamente, há mais de 5 (cinco) anos, de forma contínua e ininterrupta, desde a edição da Lei 11.416, de 2006. Nada impedia que a Administração Pública exercesse a autotutela, desde que no prazo decadencial previsto no parágrafo primeiro do artigo 54 da Lei 9.784/1999: [...]</w:t>
      </w:r>
    </w:p>
    <w:p w14:paraId="5670A624" w14:textId="2AD6287E" w:rsidR="6E1B75D1" w:rsidRDefault="6E1B75D1" w:rsidP="23C96B68">
      <w:pPr>
        <w:spacing w:after="0" w:line="240" w:lineRule="auto"/>
        <w:ind w:left="1701" w:right="15" w:hanging="6"/>
        <w:jc w:val="both"/>
        <w:rPr>
          <w:rFonts w:ascii="Times New Roman" w:eastAsia="Times New Roman" w:hAnsi="Times New Roman"/>
          <w:color w:val="000000" w:themeColor="text1"/>
        </w:rPr>
      </w:pPr>
    </w:p>
    <w:p w14:paraId="74C8D571" w14:textId="10C9665D" w:rsidR="6E1B75D1" w:rsidRDefault="439AF0C7" w:rsidP="23C96B68">
      <w:pPr>
        <w:spacing w:after="0" w:line="240" w:lineRule="auto"/>
        <w:ind w:left="1701" w:right="15" w:hanging="6"/>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DISPOSITIVO</w:t>
      </w:r>
    </w:p>
    <w:p w14:paraId="74476D92" w14:textId="1B5936C6" w:rsidR="6E1B75D1" w:rsidRDefault="6E1B75D1" w:rsidP="23C96B68">
      <w:pPr>
        <w:spacing w:after="0" w:line="240" w:lineRule="auto"/>
        <w:ind w:left="1701" w:right="15" w:hanging="6"/>
        <w:jc w:val="both"/>
        <w:rPr>
          <w:rFonts w:ascii="Times New Roman" w:eastAsia="Times New Roman" w:hAnsi="Times New Roman"/>
          <w:color w:val="000000" w:themeColor="text1"/>
        </w:rPr>
      </w:pPr>
    </w:p>
    <w:p w14:paraId="5CC6736A" w14:textId="435B2E0A" w:rsidR="6E1B75D1" w:rsidRDefault="439AF0C7" w:rsidP="23C96B68">
      <w:pPr>
        <w:spacing w:after="0" w:line="240" w:lineRule="auto"/>
        <w:ind w:left="1695" w:right="15"/>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Ante o exposto, julgo PROCEDENTE o pedido formulado na Inicial e declaro extinto o processo com resolução do mérito, nos termos do artigo 487, I do Código de Processo Civil de 2015. Declaro o direito do autor à manutenção de acumulação da VPNI, decorrente da incorporação dos quintos, com a GAE, haja vista que tal situação perdura há mais de 5 (cinco) anos. Anulo o ato administrativo que determinou o corte da VPNI, decorrente da incorporação dos quintos. Condeno a União Federal ao restabelecimento do pagamento cumulado da VPNI com a GAE, bem como ao pagamento dos valores retroativos devidos em razão do direito declarado, acrescido de juros de mora e correção monetária, nos termos da Lei.</w:t>
      </w:r>
    </w:p>
    <w:p w14:paraId="36964BE0" w14:textId="77CC9262"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2850659B" w14:textId="093B5800"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Como visto, além de acórdãos específicos no MS 36869, do Supremo Tribunal Federal, outros processos judiciais obtiveram decisões contrárias ao que determina o TCU, atestando a controvérsia que permeia a matéria e reforçando a necessidade de rejeição dos indícios de ilegalidade ou, pelo menos, a suspensão dos processos administrativos em tramitação até que a matéria se consolide na representação em andamento na Corte de Contas.</w:t>
      </w:r>
    </w:p>
    <w:p w14:paraId="67346921" w14:textId="0AD2C0DA" w:rsidR="6E1B75D1" w:rsidRDefault="6E1B75D1" w:rsidP="23C96B68">
      <w:pPr>
        <w:spacing w:after="0" w:line="240" w:lineRule="auto"/>
        <w:jc w:val="both"/>
        <w:rPr>
          <w:rFonts w:ascii="Times New Roman" w:eastAsia="Times New Roman" w:hAnsi="Times New Roman"/>
          <w:color w:val="000000" w:themeColor="text1"/>
          <w:sz w:val="26"/>
          <w:szCs w:val="26"/>
        </w:rPr>
      </w:pPr>
    </w:p>
    <w:p w14:paraId="6A790FFD" w14:textId="20C46DC9" w:rsidR="6E1B75D1" w:rsidRDefault="439AF0C7" w:rsidP="23C96B68">
      <w:pPr>
        <w:spacing w:after="0" w:line="240" w:lineRule="auto"/>
        <w:jc w:val="both"/>
        <w:rPr>
          <w:rFonts w:ascii="Times New Roman" w:eastAsia="Times New Roman" w:hAnsi="Times New Roman"/>
          <w:color w:val="000000" w:themeColor="text1"/>
          <w:sz w:val="26"/>
          <w:szCs w:val="26"/>
        </w:rPr>
      </w:pPr>
      <w:r w:rsidRPr="23C96B68">
        <w:rPr>
          <w:rFonts w:ascii="Times New Roman" w:eastAsia="Times New Roman" w:hAnsi="Times New Roman"/>
          <w:b/>
          <w:bCs/>
          <w:color w:val="000000" w:themeColor="text1"/>
          <w:sz w:val="26"/>
          <w:szCs w:val="26"/>
        </w:rPr>
        <w:t xml:space="preserve">3.3. </w:t>
      </w:r>
      <w:r w:rsidRPr="23C96B68">
        <w:rPr>
          <w:rFonts w:ascii="Times New Roman" w:eastAsia="Times New Roman" w:hAnsi="Times New Roman"/>
          <w:b/>
          <w:bCs/>
          <w:color w:val="000000" w:themeColor="text1"/>
          <w:sz w:val="26"/>
          <w:szCs w:val="26"/>
          <w:u w:val="single"/>
        </w:rPr>
        <w:t>Precedentes administrativos pela decadência, legalidade ou compensação futura da VPNI dos Oficiais de Justiça Avaliadores Federais</w:t>
      </w:r>
    </w:p>
    <w:p w14:paraId="11F457F8" w14:textId="11F8E19F" w:rsidR="6E1B75D1" w:rsidRDefault="6E1B75D1" w:rsidP="23C96B68">
      <w:pPr>
        <w:spacing w:after="0" w:line="240" w:lineRule="auto"/>
        <w:jc w:val="both"/>
        <w:rPr>
          <w:rFonts w:ascii="Times New Roman" w:eastAsia="Times New Roman" w:hAnsi="Times New Roman"/>
          <w:color w:val="000000" w:themeColor="text1"/>
          <w:sz w:val="26"/>
          <w:szCs w:val="26"/>
        </w:rPr>
      </w:pPr>
    </w:p>
    <w:p w14:paraId="39D65FC7" w14:textId="73C85915"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Recentemente, ao apreciar as notificações encaminhadas pelo TCU, o Pleno do </w:t>
      </w:r>
      <w:r w:rsidRPr="23C96B68">
        <w:rPr>
          <w:rFonts w:ascii="Times New Roman" w:eastAsia="Times New Roman" w:hAnsi="Times New Roman"/>
          <w:b/>
          <w:bCs/>
          <w:color w:val="000000" w:themeColor="text1"/>
          <w:sz w:val="26"/>
          <w:szCs w:val="26"/>
        </w:rPr>
        <w:t>Tribunal Regional do Trabalho a 11ª Região</w:t>
      </w:r>
      <w:r w:rsidRPr="23C96B68">
        <w:rPr>
          <w:rFonts w:ascii="Times New Roman" w:eastAsia="Times New Roman" w:hAnsi="Times New Roman"/>
          <w:color w:val="000000" w:themeColor="text1"/>
          <w:sz w:val="26"/>
          <w:szCs w:val="26"/>
        </w:rPr>
        <w:t xml:space="preserve"> concluiu pela incidência da decadência do artigo 54 da Lei 9.784, de 1999, prejudicando qualquer outra análise superveniente. O acórdão plenário foi produzido no julgamento de recurso administrativo nos autos do </w:t>
      </w:r>
      <w:r w:rsidRPr="23C96B68">
        <w:rPr>
          <w:rFonts w:ascii="Times New Roman" w:eastAsia="Times New Roman" w:hAnsi="Times New Roman"/>
          <w:b/>
          <w:bCs/>
          <w:color w:val="000000" w:themeColor="text1"/>
          <w:sz w:val="26"/>
          <w:szCs w:val="26"/>
        </w:rPr>
        <w:t>Processo TRT MA-46/2020</w:t>
      </w:r>
      <w:r w:rsidRPr="23C96B68">
        <w:rPr>
          <w:rFonts w:ascii="Times New Roman" w:eastAsia="Times New Roman" w:hAnsi="Times New Roman"/>
          <w:color w:val="000000" w:themeColor="text1"/>
          <w:sz w:val="26"/>
          <w:szCs w:val="26"/>
        </w:rPr>
        <w:t xml:space="preserve">, reconhecendo que a verba já foi incorporada definitivamente ao patrimônio jurídico dos Oficiais de Justiça Avaliadores Federais, vez que alcançada pelo instituto da decadência, conforme a ementa abaixo: </w:t>
      </w:r>
    </w:p>
    <w:p w14:paraId="07802FB9" w14:textId="70DF842D"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0F2558AE" w14:textId="76BA51B3" w:rsidR="6E1B75D1" w:rsidRDefault="439AF0C7" w:rsidP="23C96B68">
      <w:pPr>
        <w:spacing w:after="0" w:line="240" w:lineRule="auto"/>
        <w:ind w:left="1701" w:right="15" w:hanging="6"/>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REVISÃO DE ATO ADMINISTRATIVO. PODER DE AUTOTUTELA. Que dando-se inerte, a DA ADMINISTRAÇÃO. PRAZO DECADENCIAL administração pública, por mais de uma década quanto ao pagamento de parcelas de natureza alimentar ao administrado, fez com que a verba se tornasse incorporada de forma definitiva ao seu patrimônio, porque recebida de boa-fé pelo servidor, estabilizando-se a relação jurídico-administrativa.  Nesse contexto, impositivo é reconhecer-se a decadência do direito da Administração em rever os efeitos da má interpretação do ato administrativo por ele proferido, prevalecendo, no caso, a segurança jurídica em detrimento da legalidade da atuação administrativa. Recurso provido.</w:t>
      </w:r>
    </w:p>
    <w:p w14:paraId="12F5409B" w14:textId="2FF5DE92"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2FB35969" w14:textId="6F9890C3"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O mesmo ocorreu no </w:t>
      </w:r>
      <w:r w:rsidRPr="23C96B68">
        <w:rPr>
          <w:rFonts w:ascii="Times New Roman" w:eastAsia="Times New Roman" w:hAnsi="Times New Roman"/>
          <w:b/>
          <w:bCs/>
          <w:color w:val="000000" w:themeColor="text1"/>
          <w:sz w:val="26"/>
          <w:szCs w:val="26"/>
        </w:rPr>
        <w:t>Tribunal Regional do Trabalho da 17ª Região</w:t>
      </w:r>
      <w:r w:rsidRPr="23C96B68">
        <w:rPr>
          <w:rFonts w:ascii="Times New Roman" w:eastAsia="Times New Roman" w:hAnsi="Times New Roman"/>
          <w:color w:val="000000" w:themeColor="text1"/>
          <w:sz w:val="26"/>
          <w:szCs w:val="26"/>
        </w:rPr>
        <w:t>, em decisão igualmente recente:</w:t>
      </w:r>
    </w:p>
    <w:p w14:paraId="7622DE96" w14:textId="7948971E"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0C38DD60" w14:textId="624FA95E"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REFERÊNCIA: </w:t>
      </w:r>
      <w:r w:rsidRPr="23C96B68">
        <w:rPr>
          <w:rFonts w:ascii="Times New Roman" w:eastAsia="Times New Roman" w:hAnsi="Times New Roman"/>
          <w:b/>
          <w:bCs/>
          <w:color w:val="000000" w:themeColor="text1"/>
        </w:rPr>
        <w:t>PA 0000190-21.2020.5.17.0500</w:t>
      </w:r>
    </w:p>
    <w:p w14:paraId="62726A5B" w14:textId="504D511B"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1.Acolho as manifestações do SEDIV e da Assessoria Jurídica e reconheço a decadência do direito da Administração de invalidar os atos de incorporação dos quintos/décimos da função comissionada FC Executante de Mandados na remuneração da servidora Deise Mara da Cunha, com fulcro no art. 54da Lei n. 9.784/99.</w:t>
      </w:r>
    </w:p>
    <w:p w14:paraId="3C1DFD46" w14:textId="1DB6D11D"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2.À SGP, para ciência da servidora interessada. </w:t>
      </w:r>
    </w:p>
    <w:p w14:paraId="03BF810B" w14:textId="18D004C1"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3.À Divisão de Controle Interno, para providenciar a ciência ao TCU, por meio do sistema e-pessoal, remetendo cópia do processo administrativo individual.</w:t>
      </w:r>
    </w:p>
    <w:p w14:paraId="285C9859" w14:textId="3CBBC143"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374A5C37" w14:textId="4C37887C" w:rsidR="6E1B75D1" w:rsidRDefault="439AF0C7" w:rsidP="23C96B68">
      <w:pPr>
        <w:spacing w:after="0" w:line="240" w:lineRule="auto"/>
        <w:ind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O </w:t>
      </w:r>
      <w:r w:rsidRPr="23C96B68">
        <w:rPr>
          <w:rFonts w:ascii="Times New Roman" w:eastAsia="Times New Roman" w:hAnsi="Times New Roman"/>
          <w:b/>
          <w:bCs/>
          <w:color w:val="000000" w:themeColor="text1"/>
          <w:sz w:val="26"/>
          <w:szCs w:val="26"/>
        </w:rPr>
        <w:t>Tribunal Regional do trabalho da 4ª Região</w:t>
      </w:r>
      <w:r w:rsidRPr="23C96B68">
        <w:rPr>
          <w:rFonts w:ascii="Times New Roman" w:eastAsia="Times New Roman" w:hAnsi="Times New Roman"/>
          <w:color w:val="000000" w:themeColor="text1"/>
          <w:sz w:val="26"/>
          <w:szCs w:val="26"/>
        </w:rPr>
        <w:t xml:space="preserve"> também entendeu como descaracterizados os indícios e acolheu inteiramente o entendimento da área técnica e da Direção Geral, quando da análise do </w:t>
      </w:r>
      <w:r w:rsidRPr="23C96B68">
        <w:rPr>
          <w:rFonts w:ascii="Times New Roman" w:eastAsia="Times New Roman" w:hAnsi="Times New Roman"/>
          <w:b/>
          <w:bCs/>
          <w:color w:val="000000" w:themeColor="text1"/>
          <w:sz w:val="26"/>
          <w:szCs w:val="26"/>
        </w:rPr>
        <w:t>PROAD nº 3717/2019</w:t>
      </w:r>
      <w:r w:rsidRPr="23C96B68">
        <w:rPr>
          <w:rFonts w:ascii="Times New Roman" w:eastAsia="Times New Roman" w:hAnsi="Times New Roman"/>
          <w:color w:val="000000" w:themeColor="text1"/>
          <w:sz w:val="26"/>
          <w:szCs w:val="26"/>
        </w:rPr>
        <w:t>. Segundo o parecer da Diretoria-Geral:</w:t>
      </w:r>
    </w:p>
    <w:p w14:paraId="10B80F8B" w14:textId="46AF8C4A" w:rsidR="6E1B75D1" w:rsidRDefault="6E1B75D1" w:rsidP="23C96B68">
      <w:pPr>
        <w:spacing w:after="0" w:line="240" w:lineRule="auto"/>
        <w:ind w:firstLine="1695"/>
        <w:jc w:val="both"/>
        <w:rPr>
          <w:rFonts w:ascii="Times New Roman" w:eastAsia="Times New Roman" w:hAnsi="Times New Roman"/>
          <w:color w:val="000000" w:themeColor="text1"/>
          <w:sz w:val="26"/>
          <w:szCs w:val="26"/>
        </w:rPr>
      </w:pPr>
    </w:p>
    <w:p w14:paraId="180D6252" w14:textId="6C0473BF" w:rsidR="6E1B75D1" w:rsidRDefault="439AF0C7" w:rsidP="23C96B68">
      <w:pPr>
        <w:spacing w:after="0" w:line="240" w:lineRule="auto"/>
        <w:ind w:left="1701" w:hanging="6"/>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Surpreende que o entendimento adotado no voto acolhido no Acórdão TCU nº 2784/2016 - Plenário, em especial nos seus tópicos 8 e 13, coloque em dúvida   a   legalidade   da   incorporação   de   quintos   pelo   exercício   da   função   de Executante de Mandados FC-5, ao argumento de que o encargo tem natureza de gratificação, pois valoriza atribuições inerentes ao cargo efetivo ocupado por </w:t>
      </w:r>
      <w:r w:rsidRPr="23C96B68">
        <w:rPr>
          <w:rFonts w:ascii="Times New Roman" w:eastAsia="Times New Roman" w:hAnsi="Times New Roman"/>
          <w:color w:val="000000" w:themeColor="text1"/>
        </w:rPr>
        <w:lastRenderedPageBreak/>
        <w:t>todos os servidores Oficiais de Justiça Avaliadores Federais. Isso porque não se tem notícia deque a incorporação de frações de quintos da função de Executante de Mandados pelos servidores que a exerceram tenha sido contestada ou julgada imprópria em algum momento pretérito pelo Tribunal de Contas da União, com fundamento na natureza das atribuições que foram por ela remuneradas, como mostra a informação complementar anexada às fls. 206-207. E não foram raros os atos concessórios de aposentadoria de Oficiais de Justiça Avaliadores submetidos e aprovados pelo TCU até o presente momento, cujos fundamentos legais incluíam VPNI derivada da função comissionada de Executante de Mandados"</w:t>
      </w:r>
    </w:p>
    <w:p w14:paraId="19400B5F" w14:textId="7844B9A5" w:rsidR="6E1B75D1" w:rsidRDefault="6E1B75D1" w:rsidP="23C96B68">
      <w:pPr>
        <w:spacing w:after="0" w:line="240" w:lineRule="auto"/>
        <w:ind w:firstLine="1695"/>
        <w:jc w:val="both"/>
        <w:rPr>
          <w:rFonts w:ascii="Times New Roman" w:eastAsia="Times New Roman" w:hAnsi="Times New Roman"/>
          <w:color w:val="000000" w:themeColor="text1"/>
        </w:rPr>
      </w:pPr>
    </w:p>
    <w:p w14:paraId="61E7BD0D" w14:textId="3DA58092" w:rsidR="6E1B75D1" w:rsidRDefault="439AF0C7" w:rsidP="23C96B68">
      <w:pPr>
        <w:spacing w:after="0" w:line="240" w:lineRule="auto"/>
        <w:ind w:right="15"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Em sequência, ainda no PROAD nº 3717/2019, a Presidente do </w:t>
      </w:r>
      <w:r w:rsidRPr="23C96B68">
        <w:rPr>
          <w:rFonts w:ascii="Times New Roman" w:eastAsia="Times New Roman" w:hAnsi="Times New Roman"/>
          <w:b/>
          <w:bCs/>
          <w:color w:val="000000" w:themeColor="text1"/>
          <w:sz w:val="26"/>
          <w:szCs w:val="26"/>
        </w:rPr>
        <w:t>TRT4</w:t>
      </w:r>
      <w:r w:rsidRPr="23C96B68">
        <w:rPr>
          <w:rFonts w:ascii="Times New Roman" w:eastAsia="Times New Roman" w:hAnsi="Times New Roman"/>
          <w:color w:val="000000" w:themeColor="text1"/>
          <w:sz w:val="26"/>
          <w:szCs w:val="26"/>
        </w:rPr>
        <w:t xml:space="preserve"> assim se manifestou:</w:t>
      </w:r>
    </w:p>
    <w:p w14:paraId="7C7263B8" w14:textId="7D1E71F6" w:rsidR="6E1B75D1" w:rsidRDefault="6E1B75D1" w:rsidP="23C96B68">
      <w:pPr>
        <w:spacing w:after="0" w:line="240" w:lineRule="auto"/>
        <w:ind w:left="1701" w:right="15"/>
        <w:jc w:val="both"/>
        <w:rPr>
          <w:rFonts w:ascii="Times New Roman" w:eastAsia="Times New Roman" w:hAnsi="Times New Roman"/>
          <w:color w:val="000000" w:themeColor="text1"/>
        </w:rPr>
      </w:pPr>
    </w:p>
    <w:p w14:paraId="3D06725A" w14:textId="3CB374C4" w:rsidR="6E1B75D1" w:rsidRDefault="439AF0C7" w:rsidP="23C96B68">
      <w:pPr>
        <w:spacing w:after="0" w:line="240" w:lineRule="auto"/>
        <w:ind w:left="1701" w:right="15"/>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A simples alteração de entendimento quanto à regularidade desta incorporação, no sentido defendido pelo TCU, implicaria ofensa a direitos do servidor público, tais como a segurança jurídica, o direito adquirido e, ainda que de forma transversa e diferida, a irredutibilidade salarial. </w:t>
      </w:r>
    </w:p>
    <w:p w14:paraId="34D8B5DE" w14:textId="53C6E5E8"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b/>
          <w:bCs/>
          <w:color w:val="000000" w:themeColor="text1"/>
        </w:rPr>
        <w:t>Destaca-se, ainda, que não se trata de revisão de ato flagrantemente inconstitucional, a admitir a não submissão da Administração ao prazo decadencial de 05 anos previsto no artigo 54 da Lei nº 9.784/1999.</w:t>
      </w:r>
    </w:p>
    <w:p w14:paraId="07C6A370" w14:textId="5A07F0C2"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w:t>
      </w:r>
    </w:p>
    <w:p w14:paraId="3F8019E6" w14:textId="47090D6D"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Por fim, importa ressaltar que, com a adoção de entendimento diverso ao manifestado pela Corte de Contas, não se está questionando a vinculação dos procedimentos deste Regional em relação às decisões do órgão de controle externo. Compreende-se, contudo, que esta manifestação se encontra dentro da margem de discricionariedade deste Regional, sendo expressão do direito ao contraditório, a fim de buscar o diálogo entre as instituições envolvidas, na defesa conjunta da correta atuação da Administração Pública.</w:t>
      </w:r>
    </w:p>
    <w:p w14:paraId="6F4B5231" w14:textId="611DD771" w:rsidR="6E1B75D1" w:rsidRDefault="6E1B75D1" w:rsidP="23C96B68">
      <w:pPr>
        <w:spacing w:after="0" w:line="240" w:lineRule="auto"/>
        <w:ind w:firstLine="1695"/>
        <w:jc w:val="both"/>
        <w:rPr>
          <w:rFonts w:ascii="Times New Roman" w:eastAsia="Times New Roman" w:hAnsi="Times New Roman"/>
          <w:color w:val="000000" w:themeColor="text1"/>
          <w:sz w:val="26"/>
          <w:szCs w:val="26"/>
        </w:rPr>
      </w:pPr>
    </w:p>
    <w:p w14:paraId="3C75C505" w14:textId="6666403C" w:rsidR="6E1B75D1" w:rsidRDefault="439AF0C7" w:rsidP="23C96B68">
      <w:pPr>
        <w:spacing w:after="0" w:line="240" w:lineRule="auto"/>
        <w:ind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Por fim, a presidência do </w:t>
      </w:r>
      <w:r w:rsidRPr="23C96B68">
        <w:rPr>
          <w:rFonts w:ascii="Times New Roman" w:eastAsia="Times New Roman" w:hAnsi="Times New Roman"/>
          <w:b/>
          <w:bCs/>
          <w:color w:val="000000" w:themeColor="text1"/>
          <w:sz w:val="26"/>
          <w:szCs w:val="26"/>
        </w:rPr>
        <w:t>Tribunal Regional do Trabalho da 4ª Região</w:t>
      </w:r>
      <w:r w:rsidRPr="23C96B68">
        <w:rPr>
          <w:rFonts w:ascii="Times New Roman" w:eastAsia="Times New Roman" w:hAnsi="Times New Roman"/>
          <w:color w:val="000000" w:themeColor="text1"/>
          <w:sz w:val="26"/>
          <w:szCs w:val="26"/>
        </w:rPr>
        <w:t xml:space="preserve"> determinou que o registro dos indícios apontados pelo TCU seja sinalizado como não procedente, por entender que as irregularidades imputadas não se verificam: </w:t>
      </w:r>
    </w:p>
    <w:p w14:paraId="6D8C935E" w14:textId="3D1E318F" w:rsidR="6E1B75D1" w:rsidRDefault="6E1B75D1" w:rsidP="23C96B68">
      <w:pPr>
        <w:spacing w:after="0" w:line="240" w:lineRule="auto"/>
        <w:ind w:firstLine="1695"/>
        <w:jc w:val="both"/>
        <w:rPr>
          <w:rFonts w:ascii="Times New Roman" w:eastAsia="Times New Roman" w:hAnsi="Times New Roman"/>
          <w:color w:val="000000" w:themeColor="text1"/>
          <w:sz w:val="26"/>
          <w:szCs w:val="26"/>
        </w:rPr>
      </w:pPr>
    </w:p>
    <w:p w14:paraId="56397DFC" w14:textId="30300680" w:rsidR="6E1B75D1" w:rsidRDefault="439AF0C7" w:rsidP="23C96B68">
      <w:pPr>
        <w:spacing w:after="0" w:line="240" w:lineRule="auto"/>
        <w:ind w:left="1701" w:hanging="6"/>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Com base no exposto, </w:t>
      </w:r>
      <w:r w:rsidRPr="23C96B68">
        <w:rPr>
          <w:rFonts w:ascii="Times New Roman" w:eastAsia="Times New Roman" w:hAnsi="Times New Roman"/>
          <w:b/>
          <w:bCs/>
          <w:color w:val="000000" w:themeColor="text1"/>
        </w:rPr>
        <w:t>entendo não caracterizadas as irregularidades imputadas no sistema e-Pessoal do Tribunal  de Contas  da  União  –TCU aos  143 servidores deste Tribunal, ativos e inativos (relacionados às fls. 03-11), que percebem, cumulativamente, parcelas de Gratificação de Atividade Externa – GAE e de Vantagem Pessoal Nominalmente Identificada – VPNI.</w:t>
      </w:r>
    </w:p>
    <w:p w14:paraId="53E59C8F" w14:textId="0B5E816B" w:rsidR="6E1B75D1" w:rsidRDefault="439AF0C7" w:rsidP="23C96B68">
      <w:pPr>
        <w:spacing w:after="0" w:line="240" w:lineRule="auto"/>
        <w:ind w:left="1695"/>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Diante do exposto, </w:t>
      </w:r>
      <w:r w:rsidRPr="23C96B68">
        <w:rPr>
          <w:rFonts w:ascii="Times New Roman" w:eastAsia="Times New Roman" w:hAnsi="Times New Roman"/>
          <w:b/>
          <w:bCs/>
          <w:color w:val="000000" w:themeColor="text1"/>
        </w:rPr>
        <w:t>em resposta aos indícios apontados pelo TCU (fls. 03-11) e de acordo com o que consta no Manual do Módulo Indícios do “sistema ePessoal”, determino:</w:t>
      </w:r>
    </w:p>
    <w:p w14:paraId="031E5AE8" w14:textId="3692AC1F" w:rsidR="6E1B75D1" w:rsidRDefault="439AF0C7" w:rsidP="23C96B68">
      <w:pPr>
        <w:spacing w:after="0" w:line="240" w:lineRule="auto"/>
        <w:ind w:left="1701" w:hanging="6"/>
        <w:jc w:val="both"/>
        <w:rPr>
          <w:rFonts w:ascii="Times New Roman" w:eastAsia="Times New Roman" w:hAnsi="Times New Roman"/>
          <w:color w:val="000000" w:themeColor="text1"/>
        </w:rPr>
      </w:pPr>
      <w:r w:rsidRPr="23C96B68">
        <w:rPr>
          <w:rFonts w:ascii="Times New Roman" w:eastAsia="Times New Roman" w:hAnsi="Times New Roman"/>
          <w:b/>
          <w:bCs/>
          <w:color w:val="000000" w:themeColor="text1"/>
        </w:rPr>
        <w:t>a) o registro no sistema e-Pessoal do enquadramento na opção nº 05 - “O indício não procede, pois a situação do servidor/pensionista está amparada por outras normas e/ou decisões”;</w:t>
      </w:r>
    </w:p>
    <w:p w14:paraId="15F359BE" w14:textId="116FFB4A" w:rsidR="6E1B75D1" w:rsidRDefault="6E1B75D1" w:rsidP="23C96B68">
      <w:pPr>
        <w:spacing w:after="0" w:line="240" w:lineRule="auto"/>
        <w:ind w:firstLine="1695"/>
        <w:jc w:val="both"/>
        <w:rPr>
          <w:rFonts w:ascii="Times New Roman" w:eastAsia="Times New Roman" w:hAnsi="Times New Roman"/>
          <w:color w:val="000000" w:themeColor="text1"/>
          <w:sz w:val="26"/>
          <w:szCs w:val="26"/>
        </w:rPr>
      </w:pPr>
    </w:p>
    <w:p w14:paraId="13C9E8C4" w14:textId="6181F0CF" w:rsidR="6E1B75D1" w:rsidRDefault="439AF0C7" w:rsidP="23C96B68">
      <w:pPr>
        <w:spacing w:after="0" w:line="240" w:lineRule="auto"/>
        <w:ind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A Corte de Contas devolveu os indícios, porém, diante da firme posição da presidência daquele Tribunal, o TCU - em manifestação de 24/08/2020 - </w:t>
      </w:r>
      <w:r w:rsidRPr="23C96B68">
        <w:rPr>
          <w:rFonts w:ascii="Times New Roman" w:eastAsia="Times New Roman" w:hAnsi="Times New Roman"/>
          <w:color w:val="000000" w:themeColor="text1"/>
          <w:sz w:val="26"/>
          <w:szCs w:val="26"/>
        </w:rPr>
        <w:lastRenderedPageBreak/>
        <w:t>instruiu o TRT4, para "então solicitamos que nos envie novamente os indícios que se encontram aguardando esclarecimento. Iremos colocá-los na aba ‘Tratado em Processo de Controle Externo’”, o que na prática equivale a sobrestar a apuração do indício até que haja a manifestação do Colegiado do TCU.</w:t>
      </w:r>
    </w:p>
    <w:p w14:paraId="3E723B34" w14:textId="26803011"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73015684" w14:textId="55252CB4"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Na mesma direção do </w:t>
      </w:r>
      <w:r w:rsidRPr="23C96B68">
        <w:rPr>
          <w:rFonts w:ascii="Times New Roman" w:eastAsia="Times New Roman" w:hAnsi="Times New Roman"/>
          <w:b/>
          <w:bCs/>
          <w:color w:val="000000" w:themeColor="text1"/>
          <w:sz w:val="26"/>
          <w:szCs w:val="26"/>
        </w:rPr>
        <w:t>TRT4</w:t>
      </w:r>
      <w:r w:rsidRPr="23C96B68">
        <w:rPr>
          <w:rFonts w:ascii="Times New Roman" w:eastAsia="Times New Roman" w:hAnsi="Times New Roman"/>
          <w:color w:val="000000" w:themeColor="text1"/>
          <w:sz w:val="26"/>
          <w:szCs w:val="26"/>
        </w:rPr>
        <w:t xml:space="preserve">, </w:t>
      </w:r>
      <w:r w:rsidRPr="23C96B68">
        <w:rPr>
          <w:rFonts w:ascii="Times New Roman" w:eastAsia="Times New Roman" w:hAnsi="Times New Roman"/>
          <w:b/>
          <w:bCs/>
          <w:color w:val="000000" w:themeColor="text1"/>
          <w:sz w:val="26"/>
          <w:szCs w:val="26"/>
        </w:rPr>
        <w:t>TRT11</w:t>
      </w:r>
      <w:r w:rsidRPr="23C96B68">
        <w:rPr>
          <w:rFonts w:ascii="Times New Roman" w:eastAsia="Times New Roman" w:hAnsi="Times New Roman"/>
          <w:color w:val="000000" w:themeColor="text1"/>
          <w:sz w:val="26"/>
          <w:szCs w:val="26"/>
        </w:rPr>
        <w:t xml:space="preserve"> e </w:t>
      </w:r>
      <w:r w:rsidRPr="23C96B68">
        <w:rPr>
          <w:rFonts w:ascii="Times New Roman" w:eastAsia="Times New Roman" w:hAnsi="Times New Roman"/>
          <w:b/>
          <w:bCs/>
          <w:color w:val="000000" w:themeColor="text1"/>
          <w:sz w:val="26"/>
          <w:szCs w:val="26"/>
        </w:rPr>
        <w:t>TRT17</w:t>
      </w:r>
      <w:r w:rsidRPr="23C96B68">
        <w:rPr>
          <w:rFonts w:ascii="Times New Roman" w:eastAsia="Times New Roman" w:hAnsi="Times New Roman"/>
          <w:color w:val="000000" w:themeColor="text1"/>
          <w:sz w:val="26"/>
          <w:szCs w:val="26"/>
        </w:rPr>
        <w:t xml:space="preserve"> foram os pareceres das unidades técnicas do </w:t>
      </w:r>
      <w:r w:rsidRPr="23C96B68">
        <w:rPr>
          <w:rFonts w:ascii="Times New Roman" w:eastAsia="Times New Roman" w:hAnsi="Times New Roman"/>
          <w:b/>
          <w:bCs/>
          <w:color w:val="000000" w:themeColor="text1"/>
          <w:sz w:val="26"/>
          <w:szCs w:val="26"/>
          <w:u w:val="single"/>
        </w:rPr>
        <w:t>TRT10</w:t>
      </w:r>
      <w:r w:rsidRPr="23C96B68">
        <w:rPr>
          <w:rFonts w:ascii="Times New Roman" w:eastAsia="Times New Roman" w:hAnsi="Times New Roman"/>
          <w:color w:val="000000" w:themeColor="text1"/>
          <w:sz w:val="26"/>
          <w:szCs w:val="26"/>
        </w:rPr>
        <w:t xml:space="preserve"> (processo nº</w:t>
      </w:r>
      <w:r w:rsidRPr="23C96B68">
        <w:rPr>
          <w:rFonts w:ascii="Times New Roman" w:eastAsia="Times New Roman" w:hAnsi="Times New Roman"/>
          <w:b/>
          <w:bCs/>
          <w:color w:val="000000" w:themeColor="text1"/>
          <w:sz w:val="26"/>
          <w:szCs w:val="26"/>
        </w:rPr>
        <w:t xml:space="preserve"> 0007560-84.2019.5.10.8000</w:t>
      </w:r>
      <w:r w:rsidRPr="23C96B68">
        <w:rPr>
          <w:rFonts w:ascii="Times New Roman" w:eastAsia="Times New Roman" w:hAnsi="Times New Roman"/>
          <w:color w:val="000000" w:themeColor="text1"/>
          <w:sz w:val="26"/>
          <w:szCs w:val="26"/>
        </w:rPr>
        <w:t>)</w:t>
      </w:r>
      <w:r w:rsidRPr="23C96B68">
        <w:rPr>
          <w:rFonts w:ascii="Times New Roman" w:eastAsia="Times New Roman" w:hAnsi="Times New Roman"/>
          <w:b/>
          <w:bCs/>
          <w:color w:val="000000" w:themeColor="text1"/>
          <w:sz w:val="26"/>
          <w:szCs w:val="26"/>
        </w:rPr>
        <w:t xml:space="preserve">, </w:t>
      </w:r>
      <w:r w:rsidRPr="23C96B68">
        <w:rPr>
          <w:rFonts w:ascii="Times New Roman" w:eastAsia="Times New Roman" w:hAnsi="Times New Roman"/>
          <w:b/>
          <w:bCs/>
          <w:color w:val="000000" w:themeColor="text1"/>
          <w:sz w:val="26"/>
          <w:szCs w:val="26"/>
          <w:u w:val="single"/>
        </w:rPr>
        <w:t>TRT15</w:t>
      </w:r>
      <w:r w:rsidRPr="23C96B68">
        <w:rPr>
          <w:rFonts w:ascii="Times New Roman" w:eastAsia="Times New Roman" w:hAnsi="Times New Roman"/>
          <w:b/>
          <w:bCs/>
          <w:color w:val="000000" w:themeColor="text1"/>
          <w:sz w:val="26"/>
          <w:szCs w:val="26"/>
        </w:rPr>
        <w:t xml:space="preserve"> (</w:t>
      </w:r>
      <w:r w:rsidRPr="23C96B68">
        <w:rPr>
          <w:rFonts w:ascii="Times New Roman" w:eastAsia="Times New Roman" w:hAnsi="Times New Roman"/>
          <w:color w:val="000000" w:themeColor="text1"/>
          <w:sz w:val="26"/>
          <w:szCs w:val="26"/>
        </w:rPr>
        <w:t xml:space="preserve">protocolo administrativo - </w:t>
      </w:r>
      <w:r w:rsidRPr="23C96B68">
        <w:rPr>
          <w:rFonts w:ascii="Times New Roman" w:eastAsia="Times New Roman" w:hAnsi="Times New Roman"/>
          <w:b/>
          <w:bCs/>
          <w:color w:val="000000" w:themeColor="text1"/>
          <w:sz w:val="26"/>
          <w:szCs w:val="26"/>
        </w:rPr>
        <w:t>3135/22019-DG</w:t>
      </w:r>
      <w:r w:rsidRPr="23C96B68">
        <w:rPr>
          <w:rFonts w:ascii="Times New Roman" w:eastAsia="Times New Roman" w:hAnsi="Times New Roman"/>
          <w:color w:val="000000" w:themeColor="text1"/>
          <w:sz w:val="26"/>
          <w:szCs w:val="26"/>
        </w:rPr>
        <w:t>)</w:t>
      </w:r>
      <w:r w:rsidRPr="23C96B68">
        <w:rPr>
          <w:rFonts w:ascii="Times New Roman" w:eastAsia="Times New Roman" w:hAnsi="Times New Roman"/>
          <w:b/>
          <w:bCs/>
          <w:color w:val="000000" w:themeColor="text1"/>
          <w:sz w:val="26"/>
          <w:szCs w:val="26"/>
        </w:rPr>
        <w:t xml:space="preserve"> e </w:t>
      </w:r>
      <w:r w:rsidRPr="23C96B68">
        <w:rPr>
          <w:rFonts w:ascii="Times New Roman" w:eastAsia="Times New Roman" w:hAnsi="Times New Roman"/>
          <w:b/>
          <w:bCs/>
          <w:color w:val="000000" w:themeColor="text1"/>
          <w:sz w:val="26"/>
          <w:szCs w:val="26"/>
          <w:u w:val="single"/>
        </w:rPr>
        <w:t>TRT18</w:t>
      </w:r>
      <w:r w:rsidRPr="23C96B68">
        <w:rPr>
          <w:rFonts w:cs="Calibri"/>
          <w:color w:val="000000" w:themeColor="text1"/>
        </w:rPr>
        <w:t xml:space="preserve"> (</w:t>
      </w:r>
      <w:r w:rsidRPr="23C96B68">
        <w:rPr>
          <w:rFonts w:ascii="Times New Roman" w:eastAsia="Times New Roman" w:hAnsi="Times New Roman"/>
          <w:color w:val="000000" w:themeColor="text1"/>
          <w:sz w:val="26"/>
          <w:szCs w:val="26"/>
        </w:rPr>
        <w:t>processo administrativo nº</w:t>
      </w:r>
      <w:r w:rsidRPr="23C96B68">
        <w:rPr>
          <w:rFonts w:ascii="Times New Roman" w:eastAsia="Times New Roman" w:hAnsi="Times New Roman"/>
          <w:b/>
          <w:bCs/>
          <w:color w:val="000000" w:themeColor="text1"/>
          <w:sz w:val="26"/>
          <w:szCs w:val="26"/>
        </w:rPr>
        <w:t xml:space="preserve"> 12235/2019</w:t>
      </w:r>
      <w:r w:rsidRPr="23C96B68">
        <w:rPr>
          <w:rFonts w:ascii="Times New Roman" w:eastAsia="Times New Roman" w:hAnsi="Times New Roman"/>
          <w:color w:val="000000" w:themeColor="text1"/>
          <w:sz w:val="26"/>
          <w:szCs w:val="26"/>
        </w:rPr>
        <w:t>).</w:t>
      </w:r>
    </w:p>
    <w:p w14:paraId="7B9101CF" w14:textId="3302E2FE"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3493F827" w14:textId="5C51A72E" w:rsidR="6E1B75D1" w:rsidRDefault="439AF0C7" w:rsidP="23C96B68">
      <w:pPr>
        <w:spacing w:after="0" w:line="240" w:lineRule="auto"/>
        <w:ind w:right="15" w:firstLine="1695"/>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No </w:t>
      </w:r>
      <w:r w:rsidRPr="23C96B68">
        <w:rPr>
          <w:rFonts w:ascii="Times New Roman" w:eastAsia="Times New Roman" w:hAnsi="Times New Roman"/>
          <w:b/>
          <w:bCs/>
          <w:color w:val="000000" w:themeColor="text1"/>
          <w:sz w:val="26"/>
          <w:szCs w:val="26"/>
        </w:rPr>
        <w:t>Tribunal Regional Federal da 3ª Região</w:t>
      </w:r>
      <w:r w:rsidRPr="23C96B68">
        <w:rPr>
          <w:rFonts w:ascii="Times New Roman" w:eastAsia="Times New Roman" w:hAnsi="Times New Roman"/>
          <w:color w:val="000000" w:themeColor="text1"/>
          <w:sz w:val="26"/>
          <w:szCs w:val="26"/>
        </w:rPr>
        <w:t xml:space="preserve">, processo SEI </w:t>
      </w:r>
      <w:r w:rsidRPr="23C96B68">
        <w:rPr>
          <w:rFonts w:ascii="Times New Roman" w:eastAsia="Times New Roman" w:hAnsi="Times New Roman"/>
          <w:b/>
          <w:bCs/>
          <w:color w:val="000000" w:themeColor="text1"/>
          <w:sz w:val="26"/>
          <w:szCs w:val="26"/>
        </w:rPr>
        <w:t>0034117-87.2019.4.03.8000</w:t>
      </w:r>
      <w:r w:rsidRPr="23C96B68">
        <w:rPr>
          <w:rFonts w:ascii="Times New Roman" w:eastAsia="Times New Roman" w:hAnsi="Times New Roman"/>
          <w:color w:val="000000" w:themeColor="text1"/>
          <w:sz w:val="26"/>
          <w:szCs w:val="26"/>
        </w:rPr>
        <w:t>, a Diretora da Divisão de Folha de Pagamento, então em exercício, prestou a Informação nº 5054608/2019 – DFOL, após provocação do Tribunal de Contas da União; nela, considerou que o TRF3 está em conformidade com o entendimento do Conselho da Justiça Federal, sendo que os servidores não recebem GAE cumulada com VPNI de cargo em comissão ou função comissionada, mas decorrente da incorporação dos quintos e, devido a isso, o sistema está regular, tanto para os servidores ativos como os inativos.</w:t>
      </w:r>
    </w:p>
    <w:p w14:paraId="7D3C79BE" w14:textId="1429730E" w:rsidR="6E1B75D1" w:rsidRDefault="6E1B75D1" w:rsidP="23C96B68">
      <w:pPr>
        <w:spacing w:after="0" w:line="240" w:lineRule="auto"/>
        <w:ind w:right="15" w:firstLine="1695"/>
        <w:jc w:val="both"/>
        <w:rPr>
          <w:rFonts w:ascii="Times New Roman" w:eastAsia="Times New Roman" w:hAnsi="Times New Roman"/>
          <w:color w:val="000000" w:themeColor="text1"/>
          <w:sz w:val="26"/>
          <w:szCs w:val="26"/>
        </w:rPr>
      </w:pPr>
    </w:p>
    <w:p w14:paraId="12CB535B" w14:textId="3301CA71" w:rsidR="6E1B75D1" w:rsidRDefault="439AF0C7" w:rsidP="23C96B68">
      <w:pPr>
        <w:spacing w:after="0" w:line="240" w:lineRule="auto"/>
        <w:jc w:val="both"/>
        <w:rPr>
          <w:rFonts w:ascii="Times New Roman" w:eastAsia="Times New Roman" w:hAnsi="Times New Roman"/>
          <w:color w:val="000000" w:themeColor="text1"/>
          <w:sz w:val="26"/>
          <w:szCs w:val="26"/>
        </w:rPr>
      </w:pPr>
      <w:r w:rsidRPr="23C96B68">
        <w:rPr>
          <w:rFonts w:ascii="Times New Roman" w:eastAsia="Times New Roman" w:hAnsi="Times New Roman"/>
          <w:b/>
          <w:bCs/>
          <w:color w:val="000000" w:themeColor="text1"/>
          <w:sz w:val="26"/>
          <w:szCs w:val="26"/>
        </w:rPr>
        <w:t xml:space="preserve">4. </w:t>
      </w:r>
      <w:r w:rsidRPr="23C96B68">
        <w:rPr>
          <w:rFonts w:ascii="Times New Roman" w:eastAsia="Times New Roman" w:hAnsi="Times New Roman"/>
          <w:b/>
          <w:bCs/>
          <w:color w:val="000000" w:themeColor="text1"/>
          <w:sz w:val="26"/>
          <w:szCs w:val="26"/>
          <w:u w:val="single"/>
        </w:rPr>
        <w:t>DO EFEITO SUSPENSIVO</w:t>
      </w:r>
    </w:p>
    <w:p w14:paraId="73099558" w14:textId="14C99332"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31CB65DF" w14:textId="0C125AAA"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O efeito suspensivo deve ser atribuído sempre que houver a possibilidade de dano irreparável ao recorrente e seu cabimento está prevista no artigo 109 da Lei 8.112, de 1990 e no artigo 61, parágrafo único, da Lei nº 9.487, de 1999:</w:t>
      </w:r>
    </w:p>
    <w:p w14:paraId="7A069445" w14:textId="05EBBFF9" w:rsidR="6E1B75D1" w:rsidRDefault="6E1B75D1" w:rsidP="23C96B68">
      <w:pPr>
        <w:spacing w:after="0" w:line="240" w:lineRule="auto"/>
        <w:ind w:left="1701"/>
        <w:jc w:val="both"/>
        <w:rPr>
          <w:rFonts w:ascii="Times New Roman" w:eastAsia="Times New Roman" w:hAnsi="Times New Roman"/>
          <w:color w:val="000000" w:themeColor="text1"/>
        </w:rPr>
      </w:pPr>
    </w:p>
    <w:p w14:paraId="5E9EFBF8" w14:textId="2320BC8F"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b/>
          <w:bCs/>
          <w:color w:val="000000" w:themeColor="text1"/>
          <w:u w:val="single"/>
        </w:rPr>
        <w:t>Lei nº 8.112, de 1990:</w:t>
      </w:r>
    </w:p>
    <w:p w14:paraId="3EB6AB53" w14:textId="16DEAEAD"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Art. 109. O recurso poderá ser recebido com efeito suspensivo, a juízo da autoridade competente.</w:t>
      </w:r>
    </w:p>
    <w:p w14:paraId="6ADE9880" w14:textId="04E90FCE" w:rsidR="6E1B75D1" w:rsidRDefault="6E1B75D1" w:rsidP="23C96B68">
      <w:pPr>
        <w:spacing w:after="0" w:line="240" w:lineRule="auto"/>
        <w:ind w:left="1701"/>
        <w:jc w:val="both"/>
        <w:rPr>
          <w:rFonts w:ascii="Times New Roman" w:eastAsia="Times New Roman" w:hAnsi="Times New Roman"/>
          <w:color w:val="000000" w:themeColor="text1"/>
        </w:rPr>
      </w:pPr>
    </w:p>
    <w:p w14:paraId="234AC85F" w14:textId="4252B7C8"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b/>
          <w:bCs/>
          <w:color w:val="000000" w:themeColor="text1"/>
          <w:u w:val="single"/>
        </w:rPr>
        <w:t>Lei nº 9.487, de 1999:</w:t>
      </w:r>
    </w:p>
    <w:p w14:paraId="1FAFFCF9" w14:textId="096C0F10"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Art. 61. Salvo disposição legal em contrário, o recurso não tem efeito suspensivo.</w:t>
      </w:r>
    </w:p>
    <w:p w14:paraId="0A7CD28E" w14:textId="61A208B6" w:rsidR="6E1B75D1" w:rsidRDefault="439AF0C7" w:rsidP="588D3BCE">
      <w:pPr>
        <w:spacing w:after="0" w:line="240" w:lineRule="auto"/>
        <w:ind w:left="1701"/>
        <w:jc w:val="both"/>
        <w:rPr>
          <w:rFonts w:ascii="Times New Roman" w:eastAsia="Times New Roman" w:hAnsi="Times New Roman"/>
          <w:color w:val="000000" w:themeColor="text1"/>
        </w:rPr>
      </w:pPr>
      <w:r w:rsidRPr="588D3BCE">
        <w:rPr>
          <w:rFonts w:ascii="Times New Roman" w:eastAsia="Times New Roman" w:hAnsi="Times New Roman"/>
          <w:color w:val="000000" w:themeColor="text1"/>
        </w:rPr>
        <w:t xml:space="preserve">Parágrafo único. Havendo </w:t>
      </w:r>
      <w:r w:rsidRPr="588D3BCE">
        <w:rPr>
          <w:rFonts w:ascii="Times New Roman" w:eastAsia="Times New Roman" w:hAnsi="Times New Roman"/>
          <w:b/>
          <w:bCs/>
          <w:color w:val="000000" w:themeColor="text1"/>
        </w:rPr>
        <w:t>justo receio</w:t>
      </w:r>
      <w:r w:rsidRPr="588D3BCE">
        <w:rPr>
          <w:rFonts w:ascii="Times New Roman" w:eastAsia="Times New Roman" w:hAnsi="Times New Roman"/>
          <w:color w:val="000000" w:themeColor="text1"/>
        </w:rPr>
        <w:t xml:space="preserve"> de prejuízo de difícil ou incerta reparação decorrente da execução, </w:t>
      </w:r>
      <w:r w:rsidRPr="588D3BCE">
        <w:rPr>
          <w:rFonts w:ascii="Times New Roman" w:eastAsia="Times New Roman" w:hAnsi="Times New Roman"/>
          <w:b/>
          <w:bCs/>
          <w:color w:val="000000" w:themeColor="text1"/>
          <w:u w:val="single"/>
        </w:rPr>
        <w:t>a autoridade recorrida</w:t>
      </w:r>
      <w:r w:rsidRPr="588D3BCE">
        <w:rPr>
          <w:rFonts w:ascii="Times New Roman" w:eastAsia="Times New Roman" w:hAnsi="Times New Roman"/>
          <w:color w:val="000000" w:themeColor="text1"/>
        </w:rPr>
        <w:t xml:space="preserve"> ou a imediatamente superior poderá, de ofício ou a pedido, </w:t>
      </w:r>
      <w:r w:rsidRPr="588D3BCE">
        <w:rPr>
          <w:rFonts w:ascii="Times New Roman" w:eastAsia="Times New Roman" w:hAnsi="Times New Roman"/>
          <w:b/>
          <w:bCs/>
          <w:color w:val="000000" w:themeColor="text1"/>
        </w:rPr>
        <w:t>dar efeito suspensivo ao recurso</w:t>
      </w:r>
      <w:r w:rsidRPr="588D3BCE">
        <w:rPr>
          <w:rFonts w:ascii="Times New Roman" w:eastAsia="Times New Roman" w:hAnsi="Times New Roman"/>
          <w:color w:val="000000" w:themeColor="text1"/>
        </w:rPr>
        <w:t>.</w:t>
      </w:r>
    </w:p>
    <w:p w14:paraId="05E00065" w14:textId="20CA9C84"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75834E95" w14:textId="10211F86"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Sendo assim, se mostra primordial suspender os efeitos da decisão recorrida, a fim de evitar danos concretos e irreparáveis, pois, trata-se do corte de parcelas alimentares, cuja ausência pode comprometer o sustento da unidade familiar - sobretudo considerando-se o grave cenário causado pela pandemia do novo coronavírus. Impor uma perda remuneratória relevante (que ultrapassa </w:t>
      </w:r>
      <w:r w:rsidRPr="23C96B68">
        <w:rPr>
          <w:rFonts w:ascii="Times New Roman" w:eastAsia="Times New Roman" w:hAnsi="Times New Roman"/>
          <w:b/>
          <w:bCs/>
          <w:color w:val="000000" w:themeColor="text1"/>
          <w:sz w:val="26"/>
          <w:szCs w:val="26"/>
        </w:rPr>
        <w:t>R$ 3.000,00 por mês</w:t>
      </w:r>
      <w:r w:rsidRPr="23C96B68">
        <w:rPr>
          <w:rFonts w:ascii="Times New Roman" w:eastAsia="Times New Roman" w:hAnsi="Times New Roman"/>
          <w:color w:val="000000" w:themeColor="text1"/>
          <w:sz w:val="26"/>
          <w:szCs w:val="26"/>
        </w:rPr>
        <w:t>) é medida gravosa e compromete o sustento dos servidores, que em diversos casos já possuem ente familiar prejudicado pela crise suportada pela iniciativa privada.</w:t>
      </w:r>
    </w:p>
    <w:p w14:paraId="4327B73B" w14:textId="65981268" w:rsidR="6E1B75D1" w:rsidRDefault="6E1B75D1" w:rsidP="588D3BCE">
      <w:pPr>
        <w:spacing w:after="0" w:line="240" w:lineRule="auto"/>
        <w:ind w:firstLine="1701"/>
        <w:jc w:val="both"/>
        <w:rPr>
          <w:rFonts w:ascii="Times New Roman" w:eastAsia="Times New Roman" w:hAnsi="Times New Roman"/>
          <w:color w:val="000000" w:themeColor="text1"/>
          <w:sz w:val="26"/>
          <w:szCs w:val="26"/>
        </w:rPr>
      </w:pPr>
    </w:p>
    <w:p w14:paraId="4C4C1E7A" w14:textId="7D899582" w:rsidR="6E1B75D1" w:rsidRDefault="439AF0C7" w:rsidP="588D3BCE">
      <w:pPr>
        <w:spacing w:after="0" w:line="240" w:lineRule="auto"/>
        <w:ind w:firstLine="1701"/>
        <w:jc w:val="both"/>
        <w:rPr>
          <w:rFonts w:ascii="Times New Roman" w:eastAsia="Times New Roman" w:hAnsi="Times New Roman"/>
          <w:color w:val="000000" w:themeColor="text1"/>
          <w:sz w:val="26"/>
          <w:szCs w:val="26"/>
        </w:rPr>
      </w:pPr>
      <w:r w:rsidRPr="588D3BCE">
        <w:rPr>
          <w:rFonts w:ascii="Times New Roman" w:eastAsia="Times New Roman" w:hAnsi="Times New Roman"/>
          <w:color w:val="000000" w:themeColor="text1"/>
          <w:sz w:val="26"/>
          <w:szCs w:val="26"/>
        </w:rPr>
        <w:lastRenderedPageBreak/>
        <w:t xml:space="preserve">Ademais, como visto, ainda pende de julgamento pelo Tribunal de Contas da União a Representação, resultante no processo nº 036.450/2020-0, em que só então a Corte analisará as providências. No processo, serão analisadas a as dúvidas razoáveis, os impedimentos, as ausências de indícios de ilicitude ou sua confirmação, advindos dos relatórios dos Tribunais sobre o tema. </w:t>
      </w:r>
    </w:p>
    <w:p w14:paraId="53E30419" w14:textId="6EA9D926" w:rsidR="6E1B75D1" w:rsidRDefault="6E1B75D1" w:rsidP="588D3BCE">
      <w:pPr>
        <w:spacing w:after="0" w:line="240" w:lineRule="auto"/>
        <w:ind w:firstLine="1701"/>
        <w:jc w:val="both"/>
        <w:rPr>
          <w:rFonts w:ascii="Times New Roman" w:eastAsia="Times New Roman" w:hAnsi="Times New Roman"/>
          <w:color w:val="000000" w:themeColor="text1"/>
          <w:sz w:val="26"/>
          <w:szCs w:val="26"/>
        </w:rPr>
      </w:pPr>
    </w:p>
    <w:p w14:paraId="2B6BB5F3" w14:textId="240786FF" w:rsidR="6E1B75D1" w:rsidRDefault="439AF0C7" w:rsidP="588D3BCE">
      <w:pPr>
        <w:spacing w:after="0" w:line="240" w:lineRule="auto"/>
        <w:ind w:firstLine="1701"/>
        <w:jc w:val="both"/>
        <w:rPr>
          <w:rFonts w:ascii="Times New Roman" w:eastAsia="Times New Roman" w:hAnsi="Times New Roman"/>
          <w:color w:val="000000" w:themeColor="text1"/>
          <w:sz w:val="26"/>
          <w:szCs w:val="26"/>
        </w:rPr>
      </w:pPr>
      <w:r w:rsidRPr="588D3BCE">
        <w:rPr>
          <w:rFonts w:ascii="Times New Roman" w:eastAsia="Times New Roman" w:hAnsi="Times New Roman"/>
          <w:color w:val="000000" w:themeColor="text1"/>
          <w:sz w:val="26"/>
          <w:szCs w:val="26"/>
        </w:rPr>
        <w:t xml:space="preserve">Assim, semente a partir do julgamento de tal Representação poderá emanar ordem executória a ser adotada pelas autoridades envolvidas, sem prejuízo da interposição – com efeito suspensivo - de </w:t>
      </w:r>
      <w:r w:rsidRPr="588D3BCE">
        <w:rPr>
          <w:rFonts w:ascii="Times New Roman" w:eastAsia="Times New Roman" w:hAnsi="Times New Roman"/>
          <w:b/>
          <w:bCs/>
          <w:color w:val="000000" w:themeColor="text1"/>
          <w:sz w:val="26"/>
          <w:szCs w:val="26"/>
        </w:rPr>
        <w:t>pedido de reexame</w:t>
      </w:r>
      <w:r w:rsidRPr="588D3BCE">
        <w:rPr>
          <w:rFonts w:ascii="Times New Roman" w:eastAsia="Times New Roman" w:hAnsi="Times New Roman"/>
          <w:color w:val="000000" w:themeColor="text1"/>
          <w:sz w:val="26"/>
          <w:szCs w:val="26"/>
        </w:rPr>
        <w:t xml:space="preserve"> (prazo de 15 dias) e </w:t>
      </w:r>
      <w:r w:rsidRPr="588D3BCE">
        <w:rPr>
          <w:rFonts w:ascii="Times New Roman" w:eastAsia="Times New Roman" w:hAnsi="Times New Roman"/>
          <w:b/>
          <w:bCs/>
          <w:color w:val="000000" w:themeColor="text1"/>
          <w:sz w:val="26"/>
          <w:szCs w:val="26"/>
        </w:rPr>
        <w:t>embargos de declaração</w:t>
      </w:r>
      <w:r w:rsidRPr="588D3BCE">
        <w:rPr>
          <w:rFonts w:ascii="Times New Roman" w:eastAsia="Times New Roman" w:hAnsi="Times New Roman"/>
          <w:color w:val="000000" w:themeColor="text1"/>
          <w:sz w:val="26"/>
          <w:szCs w:val="26"/>
        </w:rPr>
        <w:t xml:space="preserve"> (prazo de 10 dias) (prerrogativa que cada órgão fiscalizado tem, conforme artigos 286 e 287 do RITCU).</w:t>
      </w:r>
    </w:p>
    <w:p w14:paraId="3CEFB373" w14:textId="3AF84AB1"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58EBA4E2" w14:textId="42D69574"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Justamente em razão desta Representação, em julgamento de recurso administrativo contra decisão que também determinava o corte da VPNI, a Direção do Foro da Seção Judiciária da Bahia, concedeu o efeito suspensivo requerido e manteve o pagamento da parcela no contracheque dos seus servidores. Veja-se: </w:t>
      </w:r>
    </w:p>
    <w:p w14:paraId="074446C7" w14:textId="0C7AD1BC"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6BBF6BA7" w14:textId="7CB94AF2"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No que tange ao efeito suspensivo, considerando que existe uma representação em trâmite perante o Tribunal de Contas da União, objetivando alterar o entendimento deste ou, ao menos, obter a modulação dos efeitos da decisão para que a absorção da VPNI seja realizada com os reajustes futuros, de igual modo como a Suprema Corte Federal fez no MS n. 36869 e, por consequência lógica, haver alteração do entendimento do Tribunal Regional Federal da 1ª Região, e tendo em vista que aparte recorrente já possui a ciência de que a dispensa da devolução ao erário dos valores recebidos de boa fé ocorrerá até a publicação da decisão desta Direção, em obséquio ao princípio da segurança jurídica, concedo o efeito ao recurso interposto, nos termos do art. 109 da Lei nº 8.112/90 c/c o parágrafo único do art. 61 da Lei nº 9.784/99, corroborado pelo precedente da Decisão da SJPI-DIREF(11828141).</w:t>
      </w:r>
    </w:p>
    <w:p w14:paraId="3FD6ABE3" w14:textId="08188335"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6109F80E" w14:textId="42CBA19B"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Nesse mesmo sentido, em 04 de dezembro, a Diretora do Foro da Seção Judiciária de Minas Gerais também concedeu o efeito suspensivo aos Oficiais de Justiça que haviam recorrido da decisão que determinou o corte da parcela entendimento que deve ser aplicado também neste caso. Veja-se: </w:t>
      </w:r>
    </w:p>
    <w:p w14:paraId="3E4607AA" w14:textId="6454E233"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5E050F74" w14:textId="20984419"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Efeito Suspensivo </w:t>
      </w:r>
    </w:p>
    <w:p w14:paraId="5B7AF398" w14:textId="1AB68423" w:rsidR="6E1B75D1" w:rsidRDefault="439AF0C7" w:rsidP="23C96B68">
      <w:pPr>
        <w:spacing w:after="0" w:line="240" w:lineRule="auto"/>
        <w:ind w:left="1701"/>
        <w:jc w:val="both"/>
        <w:rPr>
          <w:rFonts w:ascii="Times New Roman" w:eastAsia="Times New Roman" w:hAnsi="Times New Roman"/>
          <w:color w:val="000000" w:themeColor="text1"/>
        </w:rPr>
      </w:pPr>
      <w:r w:rsidRPr="23C96B68">
        <w:rPr>
          <w:rFonts w:ascii="Times New Roman" w:eastAsia="Times New Roman" w:hAnsi="Times New Roman"/>
          <w:color w:val="000000" w:themeColor="text1"/>
        </w:rPr>
        <w:t xml:space="preserve">Considerando que a Suprema Corte, em recentes Acórdãos (MS 36869[2], – MS 36744 – MS 31244), em situação similar à espécie, delegou ao Tribunal de Contas da União a competência para reapreciar a questão, indicando, porém, a necessidade de observância dos parâmetros anteriormente definidos no julgamento do RE nº 638.115 (STF), com repercussão geral reconhecida, que modulou os efeitos da anulação de decisão administrativa para assegurar a manutenção de recebimento de quintos até a compensação com quaisquer reajustes futuros. Bem assim os precedentes administrativos firmados pela Seção Judiciária da Bahia (11848395) e pela Seção Judiciária do Piauí (11828141), e os aspectos principiológicos e normativos declinados pela Corte de Contas no </w:t>
      </w:r>
      <w:r w:rsidRPr="23C96B68">
        <w:rPr>
          <w:rFonts w:ascii="Times New Roman" w:eastAsia="Times New Roman" w:hAnsi="Times New Roman"/>
          <w:color w:val="000000" w:themeColor="text1"/>
        </w:rPr>
        <w:lastRenderedPageBreak/>
        <w:t xml:space="preserve">julgamento do processo 027.914/2013-5[3], </w:t>
      </w:r>
      <w:r w:rsidRPr="23C96B68">
        <w:rPr>
          <w:rFonts w:ascii="Times New Roman" w:eastAsia="Times New Roman" w:hAnsi="Times New Roman"/>
          <w:b/>
          <w:bCs/>
          <w:color w:val="000000" w:themeColor="text1"/>
        </w:rPr>
        <w:t>atribuo, com fundamento na Lei n. 8.112, art. 109, efeito suspensivo ao recurso.</w:t>
      </w:r>
    </w:p>
    <w:p w14:paraId="5957F516" w14:textId="2DEA6680"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7EED873C" w14:textId="6D57995C" w:rsidR="6E1B75D1" w:rsidRDefault="004144B8" w:rsidP="23C96B68">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Os casos acima são apenas exemplos, porque também outras diretorias das Seções Judiciárias aplicaram efeito suspensivo aos recursos interpostos contra suas decisões. </w:t>
      </w:r>
      <w:r w:rsidR="439AF0C7" w:rsidRPr="23C96B68">
        <w:rPr>
          <w:rFonts w:ascii="Times New Roman" w:eastAsia="Times New Roman" w:hAnsi="Times New Roman"/>
          <w:color w:val="000000" w:themeColor="text1"/>
          <w:sz w:val="26"/>
          <w:szCs w:val="26"/>
        </w:rPr>
        <w:t xml:space="preserve">Portanto, a concessão do efeito suspensivo é medida que se impõe em respeito à decisão supratranscrita. </w:t>
      </w:r>
    </w:p>
    <w:p w14:paraId="7E367F6F" w14:textId="6FA21FB7"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30A6A051" w14:textId="3F3A9083"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Além disso, é cabível o efeito suspensivo, assim como prudente, pois se afastaria a causalidade de ocorrência de dano de difícil reparação no futuro, mas evitável com a concessão de suspensão dos efeitos da decisão. </w:t>
      </w:r>
    </w:p>
    <w:p w14:paraId="7D0F23E0" w14:textId="60AFA550" w:rsidR="6E1B75D1" w:rsidRDefault="6E1B75D1" w:rsidP="23C96B68">
      <w:pPr>
        <w:spacing w:after="0" w:line="240" w:lineRule="auto"/>
        <w:ind w:firstLine="1701"/>
        <w:jc w:val="both"/>
        <w:rPr>
          <w:rFonts w:ascii="Times New Roman" w:eastAsia="Times New Roman" w:hAnsi="Times New Roman"/>
          <w:color w:val="000000" w:themeColor="text1"/>
          <w:sz w:val="26"/>
          <w:szCs w:val="26"/>
        </w:rPr>
      </w:pPr>
    </w:p>
    <w:p w14:paraId="32E6A42F" w14:textId="67BD6639" w:rsidR="6E1B75D1" w:rsidRDefault="439AF0C7"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Além disso, pelas razões já expostas, que evidenciam da ilegalidade da atuação que, sem observar a inexistência de </w:t>
      </w:r>
      <w:r w:rsidRPr="23C96B68">
        <w:rPr>
          <w:rFonts w:ascii="Times New Roman" w:eastAsia="Times New Roman" w:hAnsi="Times New Roman"/>
          <w:i/>
          <w:iCs/>
          <w:color w:val="000000" w:themeColor="text1"/>
          <w:sz w:val="26"/>
          <w:szCs w:val="26"/>
        </w:rPr>
        <w:t>bis in idem</w:t>
      </w:r>
      <w:r w:rsidRPr="23C96B68">
        <w:rPr>
          <w:rFonts w:ascii="Times New Roman" w:eastAsia="Times New Roman" w:hAnsi="Times New Roman"/>
          <w:color w:val="000000" w:themeColor="text1"/>
          <w:sz w:val="26"/>
          <w:szCs w:val="26"/>
        </w:rPr>
        <w:t>, o direito adquirido e a segurança jurídica, determinou o desfazimento de situação constituída e oriunda de atos praticados com base na legislação então vigente há mais de cinco anos, ignorando também a flagrante decadência de rever os seus atos.</w:t>
      </w:r>
    </w:p>
    <w:p w14:paraId="00E7D699" w14:textId="0201B9D0" w:rsidR="6E1B75D1" w:rsidRDefault="6E1B75D1" w:rsidP="6E1B75D1">
      <w:pPr>
        <w:spacing w:after="0" w:line="240" w:lineRule="auto"/>
        <w:ind w:firstLine="1701"/>
        <w:jc w:val="both"/>
        <w:rPr>
          <w:rFonts w:ascii="Times New Roman" w:hAnsi="Times New Roman"/>
          <w:sz w:val="26"/>
          <w:szCs w:val="26"/>
        </w:rPr>
      </w:pPr>
    </w:p>
    <w:p w14:paraId="599E704B" w14:textId="03435EBD" w:rsidR="70F02773" w:rsidRDefault="439AF0C7" w:rsidP="23C96B68">
      <w:pPr>
        <w:spacing w:after="0" w:line="240" w:lineRule="auto"/>
        <w:jc w:val="both"/>
        <w:rPr>
          <w:rFonts w:ascii="Times New Roman" w:eastAsia="Times New Roman" w:hAnsi="Times New Roman"/>
          <w:color w:val="000000" w:themeColor="text1"/>
          <w:sz w:val="26"/>
          <w:szCs w:val="26"/>
        </w:rPr>
      </w:pPr>
      <w:r w:rsidRPr="23C96B68">
        <w:rPr>
          <w:rFonts w:ascii="Times New Roman" w:eastAsia="Times New Roman" w:hAnsi="Times New Roman"/>
          <w:b/>
          <w:bCs/>
          <w:color w:val="000000" w:themeColor="text1"/>
          <w:sz w:val="26"/>
          <w:szCs w:val="26"/>
        </w:rPr>
        <w:t>4</w:t>
      </w:r>
      <w:r w:rsidR="70F02773" w:rsidRPr="23C96B68">
        <w:rPr>
          <w:rFonts w:ascii="Times New Roman" w:eastAsia="Times New Roman" w:hAnsi="Times New Roman"/>
          <w:b/>
          <w:bCs/>
          <w:color w:val="000000" w:themeColor="text1"/>
          <w:sz w:val="26"/>
          <w:szCs w:val="26"/>
        </w:rPr>
        <w:t>. </w:t>
      </w:r>
      <w:r w:rsidR="70F02773" w:rsidRPr="23C96B68">
        <w:rPr>
          <w:rFonts w:ascii="Times New Roman" w:eastAsia="Times New Roman" w:hAnsi="Times New Roman"/>
          <w:b/>
          <w:bCs/>
          <w:color w:val="000000" w:themeColor="text1"/>
          <w:sz w:val="26"/>
          <w:szCs w:val="26"/>
          <w:u w:val="single"/>
        </w:rPr>
        <w:t>PEDIDOS RECURSAIS</w:t>
      </w:r>
    </w:p>
    <w:p w14:paraId="4BC2193F" w14:textId="58B9805F" w:rsidR="6E1B75D1" w:rsidRDefault="6E1B75D1" w:rsidP="6E1B75D1">
      <w:pPr>
        <w:spacing w:after="0" w:line="240" w:lineRule="auto"/>
        <w:ind w:firstLine="1701"/>
        <w:jc w:val="both"/>
        <w:rPr>
          <w:rFonts w:ascii="Times New Roman" w:eastAsia="Times New Roman" w:hAnsi="Times New Roman"/>
          <w:color w:val="000000" w:themeColor="text1"/>
          <w:sz w:val="26"/>
          <w:szCs w:val="26"/>
        </w:rPr>
      </w:pPr>
    </w:p>
    <w:p w14:paraId="7170C940" w14:textId="18B3B235" w:rsidR="70F02773" w:rsidRDefault="70F02773"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b/>
          <w:bCs/>
          <w:color w:val="000000" w:themeColor="text1"/>
          <w:sz w:val="26"/>
          <w:szCs w:val="26"/>
        </w:rPr>
        <w:t>Ante o exposto</w:t>
      </w:r>
      <w:r w:rsidRPr="6E1B75D1">
        <w:rPr>
          <w:rFonts w:ascii="Times New Roman" w:eastAsia="Times New Roman" w:hAnsi="Times New Roman"/>
          <w:color w:val="000000" w:themeColor="text1"/>
          <w:sz w:val="26"/>
          <w:szCs w:val="26"/>
        </w:rPr>
        <w:t>, requer o conhecimento e provimento do recurso interposto para:</w:t>
      </w:r>
    </w:p>
    <w:p w14:paraId="6AC45757" w14:textId="43E18EC4" w:rsidR="6E1B75D1" w:rsidRDefault="6E1B75D1" w:rsidP="6E1B75D1">
      <w:pPr>
        <w:spacing w:after="0" w:line="240" w:lineRule="auto"/>
        <w:ind w:firstLine="1701"/>
        <w:jc w:val="both"/>
        <w:rPr>
          <w:rFonts w:ascii="Times New Roman" w:eastAsia="Times New Roman" w:hAnsi="Times New Roman"/>
          <w:color w:val="000000" w:themeColor="text1"/>
          <w:sz w:val="26"/>
          <w:szCs w:val="26"/>
        </w:rPr>
      </w:pPr>
    </w:p>
    <w:p w14:paraId="5385DBCA" w14:textId="7E4C97FF" w:rsidR="591915DC" w:rsidRDefault="591915DC"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b/>
          <w:bCs/>
          <w:color w:val="000000" w:themeColor="text1"/>
          <w:sz w:val="26"/>
          <w:szCs w:val="26"/>
        </w:rPr>
        <w:t>(a)</w:t>
      </w:r>
      <w:r w:rsidRPr="6E1B75D1">
        <w:rPr>
          <w:rFonts w:ascii="Times New Roman" w:eastAsia="Times New Roman" w:hAnsi="Times New Roman"/>
          <w:color w:val="000000" w:themeColor="text1"/>
          <w:sz w:val="26"/>
          <w:szCs w:val="26"/>
        </w:rPr>
        <w:t xml:space="preserve"> atribuir, desde logo, o efeito suspensivo à decisão recorrida, para suspender a aplicação do entendimento firmado pelo Tribunal de contas da União no sentido de suprimir as parcelas de quintos/décimos adquiridas em razão do exercício de funções típicas de oficial de justiça, ou sua transformação em parcelas compensatórias, caso não tenham sido absorvidas pelos aumentos ocorridos nos últimos 5 anos;</w:t>
      </w:r>
    </w:p>
    <w:p w14:paraId="4298C9B4" w14:textId="5BF221E7" w:rsidR="591915DC" w:rsidRDefault="591915DC"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color w:val="000000" w:themeColor="text1"/>
          <w:sz w:val="26"/>
          <w:szCs w:val="26"/>
        </w:rPr>
        <w:t xml:space="preserve"> </w:t>
      </w:r>
    </w:p>
    <w:p w14:paraId="14025EFC" w14:textId="7FF35E8F" w:rsidR="591915DC" w:rsidRDefault="591915DC"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b/>
          <w:bCs/>
          <w:color w:val="000000" w:themeColor="text1"/>
          <w:sz w:val="26"/>
          <w:szCs w:val="26"/>
        </w:rPr>
        <w:t>(b)</w:t>
      </w:r>
      <w:r w:rsidRPr="6E1B75D1">
        <w:rPr>
          <w:rFonts w:ascii="Times New Roman" w:eastAsia="Times New Roman" w:hAnsi="Times New Roman"/>
          <w:color w:val="000000" w:themeColor="text1"/>
          <w:sz w:val="26"/>
          <w:szCs w:val="26"/>
        </w:rPr>
        <w:t xml:space="preserve"> no mérito, manter o recebimento cumulado da Gratificação de Atividade Externa – GAE e da Vantagem Pessoal Nominalmente Identificada – VPNI, devendo restituir em contracheque eventuais parcelas suprimidas;</w:t>
      </w:r>
    </w:p>
    <w:p w14:paraId="401DF4C1" w14:textId="3C842267" w:rsidR="591915DC" w:rsidRDefault="591915DC"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color w:val="000000" w:themeColor="text1"/>
          <w:sz w:val="26"/>
          <w:szCs w:val="26"/>
        </w:rPr>
        <w:t xml:space="preserve"> </w:t>
      </w:r>
    </w:p>
    <w:p w14:paraId="604D2C7D" w14:textId="1B8894A6" w:rsidR="591915DC" w:rsidRDefault="591915DC"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b/>
          <w:bCs/>
          <w:color w:val="000000" w:themeColor="text1"/>
          <w:sz w:val="26"/>
          <w:szCs w:val="26"/>
        </w:rPr>
        <w:t>(c)</w:t>
      </w:r>
      <w:r w:rsidRPr="6E1B75D1">
        <w:rPr>
          <w:rFonts w:ascii="Times New Roman" w:eastAsia="Times New Roman" w:hAnsi="Times New Roman"/>
          <w:color w:val="000000" w:themeColor="text1"/>
          <w:sz w:val="26"/>
          <w:szCs w:val="26"/>
        </w:rPr>
        <w:t xml:space="preserve"> sucessivamente, a transformação da Vantagem Pessoal Nominalmente Identificada - VPNI em parcela compensatória a ser absorvida pelos reajustes</w:t>
      </w:r>
      <w:r w:rsidRPr="6E1B75D1">
        <w:rPr>
          <w:rFonts w:ascii="Times New Roman" w:eastAsia="Times New Roman" w:hAnsi="Times New Roman"/>
          <w:b/>
          <w:bCs/>
          <w:color w:val="000000" w:themeColor="text1"/>
          <w:sz w:val="26"/>
          <w:szCs w:val="26"/>
        </w:rPr>
        <w:t xml:space="preserve"> futuros</w:t>
      </w:r>
      <w:r w:rsidRPr="6E1B75D1">
        <w:rPr>
          <w:rFonts w:ascii="Times New Roman" w:eastAsia="Times New Roman" w:hAnsi="Times New Roman"/>
          <w:color w:val="000000" w:themeColor="text1"/>
          <w:sz w:val="26"/>
          <w:szCs w:val="26"/>
        </w:rPr>
        <w:t>, com base no entendimento do Tribunal de Contas da União, sem a retroação, conforme fundamentado;</w:t>
      </w:r>
    </w:p>
    <w:p w14:paraId="41D29107" w14:textId="082B3170" w:rsidR="6E1B75D1" w:rsidRDefault="6E1B75D1" w:rsidP="6E1B75D1">
      <w:pPr>
        <w:spacing w:after="0" w:line="240" w:lineRule="auto"/>
        <w:ind w:firstLine="1701"/>
        <w:jc w:val="both"/>
        <w:rPr>
          <w:rFonts w:ascii="Times New Roman" w:eastAsia="Times New Roman" w:hAnsi="Times New Roman"/>
          <w:color w:val="000000" w:themeColor="text1"/>
          <w:sz w:val="26"/>
          <w:szCs w:val="26"/>
        </w:rPr>
      </w:pPr>
    </w:p>
    <w:p w14:paraId="18D99122" w14:textId="4C39DF18" w:rsidR="6E1B75D1" w:rsidRDefault="6E1B75D1" w:rsidP="6E1B75D1">
      <w:pPr>
        <w:spacing w:after="0" w:line="240" w:lineRule="auto"/>
        <w:ind w:firstLine="1701"/>
        <w:jc w:val="both"/>
        <w:rPr>
          <w:rFonts w:ascii="Times New Roman" w:eastAsia="Times New Roman" w:hAnsi="Times New Roman"/>
          <w:color w:val="000000" w:themeColor="text1"/>
          <w:sz w:val="26"/>
          <w:szCs w:val="26"/>
        </w:rPr>
      </w:pPr>
    </w:p>
    <w:p w14:paraId="3D8F013A" w14:textId="04655C1F" w:rsidR="3273BABB" w:rsidRDefault="3273BABB"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color w:val="000000" w:themeColor="text1"/>
          <w:sz w:val="26"/>
          <w:szCs w:val="26"/>
          <w:highlight w:val="yellow"/>
        </w:rPr>
        <w:t>[cidade</w:t>
      </w:r>
      <w:r w:rsidRPr="6E1B75D1">
        <w:rPr>
          <w:rFonts w:ascii="Times New Roman" w:eastAsia="Times New Roman" w:hAnsi="Times New Roman"/>
          <w:color w:val="000000" w:themeColor="text1"/>
          <w:sz w:val="26"/>
          <w:szCs w:val="26"/>
        </w:rPr>
        <w:t>], [</w:t>
      </w:r>
      <w:r w:rsidRPr="6E1B75D1">
        <w:rPr>
          <w:rFonts w:ascii="Times New Roman" w:eastAsia="Times New Roman" w:hAnsi="Times New Roman"/>
          <w:color w:val="000000" w:themeColor="text1"/>
          <w:sz w:val="26"/>
          <w:szCs w:val="26"/>
          <w:highlight w:val="yellow"/>
        </w:rPr>
        <w:t>data</w:t>
      </w:r>
      <w:r w:rsidRPr="6E1B75D1">
        <w:rPr>
          <w:rFonts w:ascii="Times New Roman" w:eastAsia="Times New Roman" w:hAnsi="Times New Roman"/>
          <w:color w:val="000000" w:themeColor="text1"/>
          <w:sz w:val="26"/>
          <w:szCs w:val="26"/>
        </w:rPr>
        <w:t>] de 2021.</w:t>
      </w:r>
    </w:p>
    <w:p w14:paraId="465F6C19" w14:textId="03890374" w:rsidR="3273BABB" w:rsidRDefault="3273BABB" w:rsidP="6E1B75D1">
      <w:pPr>
        <w:spacing w:after="0" w:line="240" w:lineRule="auto"/>
        <w:ind w:firstLine="1701"/>
        <w:jc w:val="both"/>
        <w:rPr>
          <w:rFonts w:ascii="Times New Roman" w:eastAsia="Times New Roman" w:hAnsi="Times New Roman"/>
          <w:color w:val="000000" w:themeColor="text1"/>
          <w:sz w:val="26"/>
          <w:szCs w:val="26"/>
        </w:rPr>
      </w:pPr>
      <w:r w:rsidRPr="6E1B75D1">
        <w:rPr>
          <w:rFonts w:ascii="Times New Roman" w:eastAsia="Times New Roman" w:hAnsi="Times New Roman"/>
          <w:color w:val="000000" w:themeColor="text1"/>
          <w:sz w:val="26"/>
          <w:szCs w:val="26"/>
        </w:rPr>
        <w:t xml:space="preserve"> </w:t>
      </w:r>
    </w:p>
    <w:p w14:paraId="31C4CC1D" w14:textId="23F7C8FD" w:rsidR="38B986BD" w:rsidRDefault="38B986BD" w:rsidP="6E1B75D1">
      <w:pPr>
        <w:spacing w:after="0" w:line="240" w:lineRule="auto"/>
        <w:ind w:firstLine="1701"/>
        <w:jc w:val="both"/>
        <w:rPr>
          <w:rFonts w:ascii="Times New Roman" w:eastAsia="Times New Roman" w:hAnsi="Times New Roman"/>
          <w:b/>
          <w:bCs/>
          <w:color w:val="000000" w:themeColor="text1"/>
          <w:sz w:val="26"/>
          <w:szCs w:val="26"/>
          <w:highlight w:val="yellow"/>
        </w:rPr>
      </w:pPr>
      <w:r w:rsidRPr="6E1B75D1">
        <w:rPr>
          <w:rFonts w:ascii="Times New Roman" w:eastAsia="Times New Roman" w:hAnsi="Times New Roman"/>
          <w:b/>
          <w:bCs/>
          <w:color w:val="000000" w:themeColor="text1"/>
          <w:sz w:val="26"/>
          <w:szCs w:val="26"/>
          <w:highlight w:val="yellow"/>
        </w:rPr>
        <w:t>N</w:t>
      </w:r>
      <w:r w:rsidR="3273BABB" w:rsidRPr="6E1B75D1">
        <w:rPr>
          <w:rFonts w:ascii="Times New Roman" w:eastAsia="Times New Roman" w:hAnsi="Times New Roman"/>
          <w:b/>
          <w:bCs/>
          <w:color w:val="000000" w:themeColor="text1"/>
          <w:sz w:val="26"/>
          <w:szCs w:val="26"/>
          <w:highlight w:val="yellow"/>
        </w:rPr>
        <w:t>ome do</w:t>
      </w:r>
      <w:r w:rsidR="7F96D7D2" w:rsidRPr="6E1B75D1">
        <w:rPr>
          <w:rFonts w:ascii="Times New Roman" w:eastAsia="Times New Roman" w:hAnsi="Times New Roman"/>
          <w:b/>
          <w:bCs/>
          <w:color w:val="000000" w:themeColor="text1"/>
          <w:sz w:val="26"/>
          <w:szCs w:val="26"/>
          <w:highlight w:val="yellow"/>
        </w:rPr>
        <w:t>/a</w:t>
      </w:r>
      <w:r w:rsidR="3273BABB" w:rsidRPr="6E1B75D1">
        <w:rPr>
          <w:rFonts w:ascii="Times New Roman" w:eastAsia="Times New Roman" w:hAnsi="Times New Roman"/>
          <w:b/>
          <w:bCs/>
          <w:color w:val="000000" w:themeColor="text1"/>
          <w:sz w:val="26"/>
          <w:szCs w:val="26"/>
          <w:highlight w:val="yellow"/>
        </w:rPr>
        <w:t xml:space="preserve"> servidor</w:t>
      </w:r>
      <w:r w:rsidR="52B982FC" w:rsidRPr="6E1B75D1">
        <w:rPr>
          <w:rFonts w:ascii="Times New Roman" w:eastAsia="Times New Roman" w:hAnsi="Times New Roman"/>
          <w:b/>
          <w:bCs/>
          <w:color w:val="000000" w:themeColor="text1"/>
          <w:sz w:val="26"/>
          <w:szCs w:val="26"/>
          <w:highlight w:val="yellow"/>
        </w:rPr>
        <w:t>(a)</w:t>
      </w:r>
    </w:p>
    <w:p w14:paraId="2380D822" w14:textId="1509B530" w:rsidR="6E1B75D1" w:rsidRDefault="3273BABB" w:rsidP="23C96B68">
      <w:pPr>
        <w:spacing w:after="0" w:line="240" w:lineRule="auto"/>
        <w:ind w:firstLine="1701"/>
        <w:jc w:val="both"/>
        <w:rPr>
          <w:rFonts w:ascii="Times New Roman" w:eastAsia="Times New Roman" w:hAnsi="Times New Roman"/>
          <w:color w:val="000000" w:themeColor="text1"/>
          <w:sz w:val="26"/>
          <w:szCs w:val="26"/>
        </w:rPr>
      </w:pPr>
      <w:r w:rsidRPr="23C96B68">
        <w:rPr>
          <w:rFonts w:ascii="Times New Roman" w:eastAsia="Times New Roman" w:hAnsi="Times New Roman"/>
          <w:color w:val="000000" w:themeColor="text1"/>
          <w:sz w:val="26"/>
          <w:szCs w:val="26"/>
        </w:rPr>
        <w:t xml:space="preserve">Matrícula </w:t>
      </w:r>
    </w:p>
    <w:sectPr w:rsidR="6E1B75D1" w:rsidSect="00384013">
      <w:headerReference w:type="default" r:id="rId11"/>
      <w:footerReference w:type="default" r:id="rId12"/>
      <w:pgSz w:w="11906" w:h="16838" w:code="9"/>
      <w:pgMar w:top="2552"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EB6583" w:rsidRDefault="00EB6583" w:rsidP="005F0A06">
      <w:pPr>
        <w:spacing w:after="0" w:line="240" w:lineRule="auto"/>
      </w:pPr>
      <w:r>
        <w:separator/>
      </w:r>
    </w:p>
  </w:endnote>
  <w:endnote w:type="continuationSeparator" w:id="0">
    <w:p w14:paraId="3461D779" w14:textId="77777777" w:rsidR="00EB6583" w:rsidRDefault="00EB6583"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5F0A06" w:rsidRPr="005F0A06" w:rsidRDefault="005F0A06" w:rsidP="4D77E4EB">
    <w:pPr>
      <w:pStyle w:val="Rodap"/>
      <w:spacing w:after="0" w:line="240" w:lineRule="auto"/>
      <w:jc w:val="right"/>
      <w:rPr>
        <w:sz w:val="2"/>
        <w:szCs w:val="2"/>
      </w:rPr>
    </w:pPr>
  </w:p>
  <w:p w14:paraId="2967A6B4" w14:textId="77777777" w:rsidR="005F0A06" w:rsidRPr="007A1EAB" w:rsidRDefault="005F0A06" w:rsidP="4D77E4EB">
    <w:pPr>
      <w:pStyle w:val="Rodap"/>
      <w:spacing w:after="0" w:line="240" w:lineRule="auto"/>
      <w:jc w:val="right"/>
      <w:rPr>
        <w:rFonts w:ascii="Arial" w:hAnsi="Arial" w:cs="Arial"/>
        <w:sz w:val="20"/>
        <w:szCs w:val="20"/>
      </w:rPr>
    </w:pPr>
    <w:r w:rsidRPr="4D77E4EB">
      <w:rPr>
        <w:rFonts w:ascii="Arial" w:hAnsi="Arial" w:cs="Arial"/>
        <w:noProof/>
        <w:sz w:val="20"/>
        <w:szCs w:val="20"/>
      </w:rPr>
      <w:fldChar w:fldCharType="begin"/>
    </w:r>
    <w:r w:rsidRPr="4D77E4EB">
      <w:rPr>
        <w:rFonts w:ascii="Arial" w:hAnsi="Arial" w:cs="Arial"/>
        <w:sz w:val="20"/>
        <w:szCs w:val="20"/>
      </w:rPr>
      <w:instrText>PAGE</w:instrText>
    </w:r>
    <w:r w:rsidRPr="4D77E4EB">
      <w:rPr>
        <w:rFonts w:ascii="Arial" w:hAnsi="Arial" w:cs="Arial"/>
        <w:sz w:val="20"/>
        <w:szCs w:val="20"/>
      </w:rPr>
      <w:fldChar w:fldCharType="separate"/>
    </w:r>
    <w:r w:rsidR="4D77E4EB" w:rsidRPr="4D77E4EB">
      <w:rPr>
        <w:rFonts w:ascii="Arial" w:hAnsi="Arial" w:cs="Arial"/>
        <w:noProof/>
        <w:sz w:val="20"/>
        <w:szCs w:val="20"/>
      </w:rPr>
      <w:t>3</w:t>
    </w:r>
    <w:r w:rsidRPr="4D77E4EB">
      <w:rPr>
        <w:rFonts w:ascii="Arial" w:hAnsi="Arial" w:cs="Arial"/>
        <w:noProof/>
        <w:sz w:val="20"/>
        <w:szCs w:val="20"/>
      </w:rPr>
      <w:fldChar w:fldCharType="end"/>
    </w:r>
    <w:r w:rsidR="4D77E4EB" w:rsidRPr="4D77E4EB">
      <w:rPr>
        <w:rFonts w:ascii="Arial" w:hAnsi="Arial" w:cs="Arial"/>
        <w:sz w:val="20"/>
        <w:szCs w:val="20"/>
      </w:rPr>
      <w:t xml:space="preserve"> de </w:t>
    </w:r>
    <w:r w:rsidRPr="4D77E4EB">
      <w:rPr>
        <w:rFonts w:ascii="Arial" w:hAnsi="Arial" w:cs="Arial"/>
        <w:noProof/>
        <w:sz w:val="20"/>
        <w:szCs w:val="20"/>
      </w:rPr>
      <w:fldChar w:fldCharType="begin"/>
    </w:r>
    <w:r w:rsidRPr="4D77E4EB">
      <w:rPr>
        <w:rFonts w:ascii="Arial" w:hAnsi="Arial" w:cs="Arial"/>
        <w:sz w:val="20"/>
        <w:szCs w:val="20"/>
      </w:rPr>
      <w:instrText>NUMPAGES</w:instrText>
    </w:r>
    <w:r w:rsidRPr="4D77E4EB">
      <w:rPr>
        <w:rFonts w:ascii="Arial" w:hAnsi="Arial" w:cs="Arial"/>
        <w:sz w:val="20"/>
        <w:szCs w:val="20"/>
      </w:rPr>
      <w:fldChar w:fldCharType="separate"/>
    </w:r>
    <w:r w:rsidR="4D77E4EB" w:rsidRPr="4D77E4EB">
      <w:rPr>
        <w:rFonts w:ascii="Arial" w:hAnsi="Arial" w:cs="Arial"/>
        <w:noProof/>
        <w:sz w:val="20"/>
        <w:szCs w:val="20"/>
      </w:rPr>
      <w:t>3</w:t>
    </w:r>
    <w:r w:rsidRPr="4D77E4EB">
      <w:rPr>
        <w:rFonts w:ascii="Arial" w:hAnsi="Arial" w:cs="Arial"/>
        <w:noProof/>
        <w:sz w:val="20"/>
        <w:szCs w:val="20"/>
      </w:rPr>
      <w:fldChar w:fldCharType="end"/>
    </w:r>
  </w:p>
  <w:p w14:paraId="4B99056E" w14:textId="77777777" w:rsidR="005F0A06" w:rsidRDefault="005F0A06" w:rsidP="4D77E4EB">
    <w:pPr>
      <w:pStyle w:val="Rodap"/>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EB6583" w:rsidRDefault="00EB6583" w:rsidP="005F0A06">
      <w:pPr>
        <w:spacing w:after="0" w:line="240" w:lineRule="auto"/>
      </w:pPr>
      <w:r>
        <w:separator/>
      </w:r>
    </w:p>
  </w:footnote>
  <w:footnote w:type="continuationSeparator" w:id="0">
    <w:p w14:paraId="0FB78278" w14:textId="77777777" w:rsidR="00EB6583" w:rsidRDefault="00EB6583" w:rsidP="005F0A06">
      <w:pPr>
        <w:spacing w:after="0" w:line="240" w:lineRule="auto"/>
      </w:pPr>
      <w:r>
        <w:continuationSeparator/>
      </w:r>
    </w:p>
  </w:footnote>
  <w:footnote w:id="1">
    <w:p w14:paraId="485BF83D" w14:textId="4B9882CD" w:rsidR="29884DF0" w:rsidRDefault="29884DF0" w:rsidP="29884DF0">
      <w:pPr>
        <w:spacing w:after="0" w:line="240" w:lineRule="auto"/>
        <w:jc w:val="both"/>
        <w:rPr>
          <w:rFonts w:ascii="Arial" w:eastAsia="Arial" w:hAnsi="Arial" w:cs="Arial"/>
          <w:color w:val="000000" w:themeColor="text1"/>
          <w:sz w:val="18"/>
          <w:szCs w:val="18"/>
        </w:rPr>
      </w:pPr>
      <w:r w:rsidRPr="29884DF0">
        <w:rPr>
          <w:rStyle w:val="Refdenotaderodap"/>
          <w:rFonts w:ascii="Arial" w:eastAsia="Arial" w:hAnsi="Arial" w:cs="Arial"/>
          <w:sz w:val="18"/>
          <w:szCs w:val="18"/>
        </w:rPr>
        <w:footnoteRef/>
      </w:r>
      <w:r w:rsidRPr="29884DF0">
        <w:rPr>
          <w:rFonts w:ascii="Arial" w:eastAsia="Arial" w:hAnsi="Arial" w:cs="Arial"/>
          <w:sz w:val="18"/>
          <w:szCs w:val="18"/>
        </w:rPr>
        <w:t xml:space="preserve"> </w:t>
      </w:r>
      <w:r w:rsidRPr="29884DF0">
        <w:rPr>
          <w:rFonts w:ascii="Arial" w:eastAsia="Arial" w:hAnsi="Arial" w:cs="Arial"/>
          <w:color w:val="000000" w:themeColor="text1"/>
          <w:sz w:val="18"/>
          <w:szCs w:val="18"/>
        </w:rPr>
        <w:t>Art. 56. Das decisões administrativas cabe recurso, em face de razões de legalidade e de mérito.</w:t>
      </w:r>
    </w:p>
  </w:footnote>
  <w:footnote w:id="2">
    <w:p w14:paraId="68DA5089" w14:textId="4361F724" w:rsidR="29884DF0" w:rsidRDefault="29884DF0" w:rsidP="29884DF0">
      <w:pPr>
        <w:spacing w:after="0" w:line="240" w:lineRule="auto"/>
        <w:jc w:val="both"/>
        <w:rPr>
          <w:rFonts w:ascii="Arial" w:eastAsia="Arial" w:hAnsi="Arial" w:cs="Arial"/>
          <w:sz w:val="18"/>
          <w:szCs w:val="18"/>
        </w:rPr>
      </w:pPr>
      <w:r w:rsidRPr="29884DF0">
        <w:rPr>
          <w:rStyle w:val="Refdenotaderodap"/>
          <w:rFonts w:ascii="Arial" w:eastAsia="Arial" w:hAnsi="Arial" w:cs="Arial"/>
          <w:sz w:val="18"/>
          <w:szCs w:val="18"/>
        </w:rPr>
        <w:footnoteRef/>
      </w:r>
      <w:r w:rsidRPr="29884DF0">
        <w:rPr>
          <w:rFonts w:ascii="Arial" w:eastAsia="Arial" w:hAnsi="Arial" w:cs="Arial"/>
          <w:sz w:val="18"/>
          <w:szCs w:val="18"/>
        </w:rPr>
        <w:t xml:space="preserve"> </w:t>
      </w:r>
      <w:r w:rsidRPr="29884DF0">
        <w:rPr>
          <w:rFonts w:ascii="Arial" w:eastAsia="Arial" w:hAnsi="Arial" w:cs="Arial"/>
          <w:color w:val="000000" w:themeColor="text1"/>
          <w:sz w:val="18"/>
          <w:szCs w:val="18"/>
        </w:rPr>
        <w:t xml:space="preserve">Art. 108.  O prazo para interposição de pedido de reconsideração ou de recurso é de 30 (trinta) dias, a contar da publicação ou da ciência, pelo interessado, da decisão recorrida.      </w:t>
      </w:r>
      <w:r w:rsidRPr="29884DF0">
        <w:rPr>
          <w:rFonts w:ascii="Arial" w:eastAsia="Arial" w:hAnsi="Arial" w:cs="Arial"/>
          <w:sz w:val="18"/>
          <w:szCs w:val="18"/>
        </w:rPr>
        <w:t xml:space="preserve"> </w:t>
      </w:r>
    </w:p>
  </w:footnote>
  <w:footnote w:id="3">
    <w:p w14:paraId="29070E93" w14:textId="4B35DEB4" w:rsidR="29884DF0" w:rsidRDefault="29884DF0" w:rsidP="29884DF0">
      <w:pPr>
        <w:spacing w:after="0" w:line="240" w:lineRule="auto"/>
        <w:jc w:val="both"/>
        <w:rPr>
          <w:rFonts w:ascii="Arial" w:eastAsia="Arial" w:hAnsi="Arial" w:cs="Arial"/>
          <w:sz w:val="18"/>
          <w:szCs w:val="18"/>
        </w:rPr>
      </w:pPr>
      <w:r w:rsidRPr="29884DF0">
        <w:rPr>
          <w:rStyle w:val="Refdenotaderodap"/>
          <w:rFonts w:ascii="Arial" w:eastAsia="Arial" w:hAnsi="Arial" w:cs="Arial"/>
          <w:sz w:val="18"/>
          <w:szCs w:val="18"/>
        </w:rPr>
        <w:footnoteRef/>
      </w:r>
      <w:r w:rsidRPr="29884DF0">
        <w:rPr>
          <w:rFonts w:ascii="Arial" w:eastAsia="Arial" w:hAnsi="Arial" w:cs="Arial"/>
          <w:sz w:val="18"/>
          <w:szCs w:val="18"/>
        </w:rPr>
        <w:t xml:space="preserve"> Art. 52. Ao Conselho de Administração incumbe: [...] IV - deliberar sobre recursos administrativos interpostos por servidores do Tribunal ou da Justiça Federal de Primeira Instância, manifestados contra atos do Presidente, do Vice-Presidente, do Corregedor-Regional da Justiça Federal e do Diretor do Foro;</w:t>
      </w:r>
    </w:p>
  </w:footnote>
  <w:footnote w:id="4">
    <w:p w14:paraId="5E46C4C8" w14:textId="32E554F3" w:rsidR="23C96B68" w:rsidRDefault="23C96B68" w:rsidP="23C96B68">
      <w:pPr>
        <w:pStyle w:val="Textodenotaderodap"/>
        <w:jc w:val="both"/>
        <w:rPr>
          <w:rFonts w:ascii="Arial" w:eastAsia="Arial" w:hAnsi="Arial" w:cs="Arial"/>
          <w:sz w:val="18"/>
          <w:szCs w:val="18"/>
          <w:lang w:val="pt-BR"/>
        </w:rPr>
      </w:pPr>
      <w:r w:rsidRPr="23C96B68">
        <w:rPr>
          <w:rStyle w:val="Refdenotaderodap"/>
          <w:rFonts w:ascii="Arial" w:eastAsia="Arial" w:hAnsi="Arial" w:cs="Arial"/>
          <w:sz w:val="18"/>
          <w:szCs w:val="18"/>
        </w:rPr>
        <w:footnoteRef/>
      </w:r>
      <w:r w:rsidRPr="23C96B68">
        <w:rPr>
          <w:rFonts w:ascii="Arial" w:eastAsia="Arial" w:hAnsi="Arial" w:cs="Arial"/>
          <w:sz w:val="18"/>
          <w:szCs w:val="18"/>
        </w:rPr>
        <w:t xml:space="preserve"> </w:t>
      </w:r>
      <w:r w:rsidRPr="23C96B68">
        <w:rPr>
          <w:rFonts w:ascii="Arial" w:eastAsia="Arial" w:hAnsi="Arial" w:cs="Arial"/>
          <w:color w:val="000000" w:themeColor="text1"/>
          <w:sz w:val="18"/>
          <w:szCs w:val="18"/>
          <w:lang w:val="en-US"/>
        </w:rPr>
        <w:t>Ato Regulamentar CJF nº 641/1987: Art 1º - As atuais funções de Auxiliar I e Auxiliar II, constantes da Tabela de Gratificações de Representação de Gabinete das Secretarias das Seções Judiciárias da Justiça federal de Primeira Instância, ficam transformados em Auxiliar Especializada.  Art 2º - São criadas, na referida Tabela as seguintes funções: Oficial de Gabinete: 163, (...), Executante de Mandados: (779). Art 3º - As designações para as funções a que se referem os artigos 1º e 2º far-se-ão por atos do Diretor do Foro da respectiva Seção Judiciária, após a indicação do Juiz Federal a que estiverem subordinados os servidores, observando-se os seguintes critérios: (...)</w:t>
      </w:r>
    </w:p>
  </w:footnote>
  <w:footnote w:id="5">
    <w:p w14:paraId="37277A68" w14:textId="5B05FC5B" w:rsidR="23C96B68" w:rsidRDefault="23C96B68" w:rsidP="23C96B68">
      <w:pPr>
        <w:spacing w:after="0" w:line="240" w:lineRule="auto"/>
        <w:jc w:val="both"/>
        <w:rPr>
          <w:rFonts w:ascii="Arial" w:eastAsia="Arial" w:hAnsi="Arial" w:cs="Arial"/>
          <w:sz w:val="18"/>
          <w:szCs w:val="18"/>
        </w:rPr>
      </w:pPr>
      <w:r w:rsidRPr="23C96B68">
        <w:rPr>
          <w:rStyle w:val="Refdenotaderodap"/>
          <w:rFonts w:ascii="Arial" w:eastAsia="Arial" w:hAnsi="Arial" w:cs="Arial"/>
          <w:sz w:val="18"/>
          <w:szCs w:val="18"/>
        </w:rPr>
        <w:footnoteRef/>
      </w:r>
      <w:r w:rsidRPr="23C96B68">
        <w:rPr>
          <w:rFonts w:ascii="Arial" w:eastAsia="Arial" w:hAnsi="Arial" w:cs="Arial"/>
          <w:sz w:val="18"/>
          <w:szCs w:val="18"/>
        </w:rPr>
        <w:t xml:space="preserve"> </w:t>
      </w:r>
      <w:r w:rsidRPr="23C96B68">
        <w:rPr>
          <w:rFonts w:ascii="Arial" w:eastAsia="Arial" w:hAnsi="Arial" w:cs="Arial"/>
          <w:color w:val="000000" w:themeColor="text1"/>
          <w:sz w:val="18"/>
          <w:szCs w:val="18"/>
        </w:rPr>
        <w:t>Lei 8.868/94: Art. 11. Os cargos de Grupo-Direção e Assessoramento Superiores - DAS, as Gratificações de Representação de Gabinete e as Funções Comissionadas, instituídos pela Lei nº 8.868, de 14 de abril de 1994, integrantes dos Quadros de Pessoal referido no art. 1º, ficam transformados em Função Comissionadas - FC, observadas as correlações estabelecidas no Anexo IV, resguardadas as situações individuais constituídas até a data da publicação desta Lei e assegurada aos ocupantes a contagem do tempo de serviço no cargo ou função, para efeito da incorporação de que trata o art. 15.</w:t>
      </w:r>
    </w:p>
  </w:footnote>
  <w:footnote w:id="6">
    <w:p w14:paraId="7F9246F9" w14:textId="44416B53" w:rsidR="23C96B68" w:rsidRDefault="23C96B68" w:rsidP="23C96B68">
      <w:pPr>
        <w:spacing w:after="0" w:line="240" w:lineRule="auto"/>
        <w:jc w:val="both"/>
        <w:rPr>
          <w:rFonts w:ascii="Arial" w:eastAsia="Arial" w:hAnsi="Arial" w:cs="Arial"/>
          <w:sz w:val="18"/>
          <w:szCs w:val="18"/>
        </w:rPr>
      </w:pPr>
      <w:r w:rsidRPr="23C96B68">
        <w:rPr>
          <w:rStyle w:val="Refdenotaderodap"/>
          <w:rFonts w:ascii="Arial" w:eastAsia="Arial" w:hAnsi="Arial" w:cs="Arial"/>
          <w:sz w:val="18"/>
          <w:szCs w:val="18"/>
        </w:rPr>
        <w:footnoteRef/>
      </w:r>
      <w:r w:rsidRPr="23C96B68">
        <w:rPr>
          <w:rFonts w:ascii="Arial" w:eastAsia="Arial" w:hAnsi="Arial" w:cs="Arial"/>
          <w:sz w:val="18"/>
          <w:szCs w:val="18"/>
        </w:rPr>
        <w:t xml:space="preserve"> </w:t>
      </w:r>
      <w:r w:rsidRPr="23C96B68">
        <w:rPr>
          <w:rFonts w:ascii="Arial" w:eastAsia="Arial" w:hAnsi="Arial" w:cs="Arial"/>
          <w:color w:val="000000" w:themeColor="text1"/>
          <w:sz w:val="18"/>
          <w:szCs w:val="18"/>
        </w:rPr>
        <w:t>Lei 8.911, de 1994: “Art.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 1º Entende-se como gratificação a ser incorporada à remuneração do servidor a parcela referente à representação e a gratificação de atividade pelo desempenho de função, quando se tratar de cargo em comissão ou função de direção, chefia e assessoramento dos Grupos: Direção e Assessoramento Superiores - DAS e Cargo de Direção - CD.”</w:t>
      </w:r>
    </w:p>
  </w:footnote>
  <w:footnote w:id="7">
    <w:p w14:paraId="0576D822" w14:textId="01312812" w:rsidR="23C96B68" w:rsidRDefault="23C96B68" w:rsidP="23C96B68">
      <w:pPr>
        <w:spacing w:after="0" w:line="240" w:lineRule="auto"/>
        <w:jc w:val="both"/>
        <w:rPr>
          <w:rFonts w:ascii="Arial" w:eastAsia="Arial" w:hAnsi="Arial" w:cs="Arial"/>
          <w:sz w:val="18"/>
          <w:szCs w:val="18"/>
        </w:rPr>
      </w:pPr>
      <w:r w:rsidRPr="23C96B68">
        <w:rPr>
          <w:rStyle w:val="Refdenotaderodap"/>
          <w:rFonts w:ascii="Arial" w:eastAsia="Arial" w:hAnsi="Arial" w:cs="Arial"/>
          <w:sz w:val="18"/>
          <w:szCs w:val="18"/>
        </w:rPr>
        <w:footnoteRef/>
      </w:r>
      <w:r w:rsidRPr="23C96B68">
        <w:rPr>
          <w:rFonts w:ascii="Arial" w:eastAsia="Arial" w:hAnsi="Arial" w:cs="Arial"/>
          <w:sz w:val="18"/>
          <w:szCs w:val="18"/>
        </w:rPr>
        <w:t xml:space="preserve"> </w:t>
      </w:r>
      <w:r w:rsidRPr="23C96B68">
        <w:rPr>
          <w:rFonts w:ascii="Arial" w:eastAsia="Arial" w:hAnsi="Arial" w:cs="Arial"/>
          <w:color w:val="000000" w:themeColor="text1"/>
          <w:sz w:val="18"/>
          <w:szCs w:val="18"/>
        </w:rPr>
        <w:t>Lei 8.112, de 1990 (redação original): “Art. 62. Ao servidor investido em função de direção, chefia ou assessoramento é devida uma gratificação pelo seu exercício. § 1° Os percentuais de gratificação serão estabelecidos em lei, em ordem decrescente, a partir dos limites estabelecidos no art. 42. § 2º A gratificação prevista neste artigo incorpora-se à remuneração do servidor e integra o provento da aposentadoria, na proporção de 1/5 (um quinto) por ano de exercício na função de direção, chefia ou assessoramento, até o limite de 5 (cinco) quintos.”</w:t>
      </w:r>
    </w:p>
  </w:footnote>
  <w:footnote w:id="8">
    <w:p w14:paraId="28892BB2" w14:textId="408C5ABF" w:rsidR="23C96B68" w:rsidRDefault="23C96B68" w:rsidP="23C96B68">
      <w:pPr>
        <w:spacing w:after="0" w:line="240" w:lineRule="auto"/>
        <w:jc w:val="both"/>
        <w:rPr>
          <w:rFonts w:ascii="Arial" w:eastAsia="Arial" w:hAnsi="Arial" w:cs="Arial"/>
          <w:sz w:val="18"/>
          <w:szCs w:val="18"/>
        </w:rPr>
      </w:pPr>
      <w:r w:rsidRPr="23C96B68">
        <w:rPr>
          <w:rStyle w:val="Refdenotaderodap"/>
          <w:rFonts w:ascii="Arial" w:eastAsia="Arial" w:hAnsi="Arial" w:cs="Arial"/>
          <w:sz w:val="18"/>
          <w:szCs w:val="18"/>
        </w:rPr>
        <w:footnoteRef/>
      </w:r>
      <w:r w:rsidRPr="23C96B68">
        <w:rPr>
          <w:rFonts w:ascii="Arial" w:eastAsia="Arial" w:hAnsi="Arial" w:cs="Arial"/>
          <w:sz w:val="18"/>
          <w:szCs w:val="18"/>
        </w:rPr>
        <w:t xml:space="preserve"> </w:t>
      </w:r>
      <w:r w:rsidRPr="23C96B68">
        <w:rPr>
          <w:rFonts w:ascii="Arial" w:eastAsia="Arial" w:hAnsi="Arial" w:cs="Arial"/>
          <w:color w:val="000000" w:themeColor="text1"/>
          <w:sz w:val="18"/>
          <w:szCs w:val="18"/>
        </w:rPr>
        <w:t>Lei 9.421, de 1996: “Art. 15. Aos servidores das carreiras judiciárias, ocupantes de Função Comissionada, aplica-se a legislação geral de incorporação de parcela mensal da remuneração de cargo em comissão ou função de confiança. §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w:t>
      </w:r>
    </w:p>
  </w:footnote>
  <w:footnote w:id="9">
    <w:p w14:paraId="3A5AD149" w14:textId="4D4B94EC" w:rsidR="23C96B68" w:rsidRDefault="23C96B68" w:rsidP="23C96B68">
      <w:pPr>
        <w:spacing w:after="0" w:line="240" w:lineRule="auto"/>
        <w:jc w:val="both"/>
        <w:rPr>
          <w:rFonts w:ascii="Arial" w:eastAsia="Arial" w:hAnsi="Arial" w:cs="Arial"/>
          <w:sz w:val="18"/>
          <w:szCs w:val="18"/>
        </w:rPr>
      </w:pPr>
      <w:r w:rsidRPr="23C96B68">
        <w:rPr>
          <w:rStyle w:val="Refdenotaderodap"/>
          <w:rFonts w:ascii="Arial" w:eastAsia="Arial" w:hAnsi="Arial" w:cs="Arial"/>
          <w:sz w:val="18"/>
          <w:szCs w:val="18"/>
        </w:rPr>
        <w:footnoteRef/>
      </w:r>
      <w:r w:rsidRPr="23C96B68">
        <w:rPr>
          <w:rFonts w:ascii="Arial" w:eastAsia="Arial" w:hAnsi="Arial" w:cs="Arial"/>
          <w:sz w:val="18"/>
          <w:szCs w:val="18"/>
        </w:rPr>
        <w:t xml:space="preserve"> </w:t>
      </w:r>
      <w:r w:rsidRPr="23C96B68">
        <w:rPr>
          <w:rFonts w:ascii="Arial" w:eastAsia="Arial" w:hAnsi="Arial" w:cs="Arial"/>
          <w:color w:val="000000" w:themeColor="text1"/>
          <w:sz w:val="18"/>
          <w:szCs w:val="18"/>
        </w:rPr>
        <w:t>Constituição Federal: “Art. 5º (...) II - ninguém será obrigado a fazer ou deixar de fazer alguma coisa senão em virtude de lei; (...) Art. 37. A administração pública direta e indireta de qualquer dos Poderes da União, dos Estados, do Distrito Federal e dos Municípios obedecerá aos princípios de legalidade, impessoalidade, moralidade, publicidade e eficiência e, também, ao seguinte:”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28D415D9" w:rsidR="00A217CB" w:rsidRPr="00C10247" w:rsidRDefault="00A217CB" w:rsidP="0009266F">
    <w:pPr>
      <w:pStyle w:val="Cabealho"/>
      <w:tabs>
        <w:tab w:val="clear" w:pos="4252"/>
        <w:tab w:val="clear" w:pos="85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786"/>
    <w:multiLevelType w:val="hybridMultilevel"/>
    <w:tmpl w:val="85962EE0"/>
    <w:lvl w:ilvl="0" w:tplc="A0FEDED0">
      <w:start w:val="1"/>
      <w:numFmt w:val="bullet"/>
      <w:lvlText w:val=""/>
      <w:lvlJc w:val="left"/>
      <w:pPr>
        <w:ind w:left="720" w:hanging="360"/>
      </w:pPr>
      <w:rPr>
        <w:rFonts w:ascii="Symbol" w:hAnsi="Symbol" w:hint="default"/>
      </w:rPr>
    </w:lvl>
    <w:lvl w:ilvl="1" w:tplc="69C4FA86">
      <w:start w:val="1"/>
      <w:numFmt w:val="bullet"/>
      <w:lvlText w:val="o"/>
      <w:lvlJc w:val="left"/>
      <w:pPr>
        <w:ind w:left="1440" w:hanging="360"/>
      </w:pPr>
      <w:rPr>
        <w:rFonts w:ascii="Courier New" w:hAnsi="Courier New" w:hint="default"/>
      </w:rPr>
    </w:lvl>
    <w:lvl w:ilvl="2" w:tplc="83FCBF6C">
      <w:start w:val="1"/>
      <w:numFmt w:val="bullet"/>
      <w:lvlText w:val=""/>
      <w:lvlJc w:val="left"/>
      <w:pPr>
        <w:ind w:left="2160" w:hanging="360"/>
      </w:pPr>
      <w:rPr>
        <w:rFonts w:ascii="Symbol" w:hAnsi="Symbol" w:hint="default"/>
      </w:rPr>
    </w:lvl>
    <w:lvl w:ilvl="3" w:tplc="04CC4CFE">
      <w:start w:val="1"/>
      <w:numFmt w:val="bullet"/>
      <w:lvlText w:val=""/>
      <w:lvlJc w:val="left"/>
      <w:pPr>
        <w:ind w:left="2880" w:hanging="360"/>
      </w:pPr>
      <w:rPr>
        <w:rFonts w:ascii="Symbol" w:hAnsi="Symbol" w:hint="default"/>
      </w:rPr>
    </w:lvl>
    <w:lvl w:ilvl="4" w:tplc="2614488E">
      <w:start w:val="1"/>
      <w:numFmt w:val="bullet"/>
      <w:lvlText w:val="o"/>
      <w:lvlJc w:val="left"/>
      <w:pPr>
        <w:ind w:left="3600" w:hanging="360"/>
      </w:pPr>
      <w:rPr>
        <w:rFonts w:ascii="Courier New" w:hAnsi="Courier New" w:hint="default"/>
      </w:rPr>
    </w:lvl>
    <w:lvl w:ilvl="5" w:tplc="CF904106">
      <w:start w:val="1"/>
      <w:numFmt w:val="bullet"/>
      <w:lvlText w:val=""/>
      <w:lvlJc w:val="left"/>
      <w:pPr>
        <w:ind w:left="4320" w:hanging="360"/>
      </w:pPr>
      <w:rPr>
        <w:rFonts w:ascii="Wingdings" w:hAnsi="Wingdings" w:hint="default"/>
      </w:rPr>
    </w:lvl>
    <w:lvl w:ilvl="6" w:tplc="E02C959C">
      <w:start w:val="1"/>
      <w:numFmt w:val="bullet"/>
      <w:lvlText w:val=""/>
      <w:lvlJc w:val="left"/>
      <w:pPr>
        <w:ind w:left="5040" w:hanging="360"/>
      </w:pPr>
      <w:rPr>
        <w:rFonts w:ascii="Symbol" w:hAnsi="Symbol" w:hint="default"/>
      </w:rPr>
    </w:lvl>
    <w:lvl w:ilvl="7" w:tplc="F38E2306">
      <w:start w:val="1"/>
      <w:numFmt w:val="bullet"/>
      <w:lvlText w:val="o"/>
      <w:lvlJc w:val="left"/>
      <w:pPr>
        <w:ind w:left="5760" w:hanging="360"/>
      </w:pPr>
      <w:rPr>
        <w:rFonts w:ascii="Courier New" w:hAnsi="Courier New" w:hint="default"/>
      </w:rPr>
    </w:lvl>
    <w:lvl w:ilvl="8" w:tplc="E0AA864C">
      <w:start w:val="1"/>
      <w:numFmt w:val="bullet"/>
      <w:lvlText w:val=""/>
      <w:lvlJc w:val="left"/>
      <w:pPr>
        <w:ind w:left="6480" w:hanging="360"/>
      </w:pPr>
      <w:rPr>
        <w:rFonts w:ascii="Wingdings" w:hAnsi="Wingdings" w:hint="default"/>
      </w:rPr>
    </w:lvl>
  </w:abstractNum>
  <w:abstractNum w:abstractNumId="1" w15:restartNumberingAfterBreak="0">
    <w:nsid w:val="399B3685"/>
    <w:multiLevelType w:val="hybridMultilevel"/>
    <w:tmpl w:val="B3820616"/>
    <w:lvl w:ilvl="0" w:tplc="E9A050E8">
      <w:start w:val="1"/>
      <w:numFmt w:val="bullet"/>
      <w:lvlText w:val=""/>
      <w:lvlJc w:val="left"/>
      <w:pPr>
        <w:ind w:left="720" w:hanging="360"/>
      </w:pPr>
      <w:rPr>
        <w:rFonts w:ascii="Symbol" w:hAnsi="Symbol" w:hint="default"/>
      </w:rPr>
    </w:lvl>
    <w:lvl w:ilvl="1" w:tplc="4BAC7EE4">
      <w:start w:val="1"/>
      <w:numFmt w:val="bullet"/>
      <w:lvlText w:val="o"/>
      <w:lvlJc w:val="left"/>
      <w:pPr>
        <w:ind w:left="1440" w:hanging="360"/>
      </w:pPr>
      <w:rPr>
        <w:rFonts w:ascii="Courier New" w:hAnsi="Courier New" w:hint="default"/>
      </w:rPr>
    </w:lvl>
    <w:lvl w:ilvl="2" w:tplc="969E9D02">
      <w:start w:val="1"/>
      <w:numFmt w:val="bullet"/>
      <w:lvlText w:val=""/>
      <w:lvlJc w:val="left"/>
      <w:pPr>
        <w:ind w:left="2160" w:hanging="360"/>
      </w:pPr>
      <w:rPr>
        <w:rFonts w:ascii="Symbol" w:hAnsi="Symbol" w:hint="default"/>
      </w:rPr>
    </w:lvl>
    <w:lvl w:ilvl="3" w:tplc="C1266EEC">
      <w:start w:val="1"/>
      <w:numFmt w:val="bullet"/>
      <w:lvlText w:val=""/>
      <w:lvlJc w:val="left"/>
      <w:pPr>
        <w:ind w:left="2880" w:hanging="360"/>
      </w:pPr>
      <w:rPr>
        <w:rFonts w:ascii="Symbol" w:hAnsi="Symbol" w:hint="default"/>
      </w:rPr>
    </w:lvl>
    <w:lvl w:ilvl="4" w:tplc="EE52538E">
      <w:start w:val="1"/>
      <w:numFmt w:val="bullet"/>
      <w:lvlText w:val="o"/>
      <w:lvlJc w:val="left"/>
      <w:pPr>
        <w:ind w:left="3600" w:hanging="360"/>
      </w:pPr>
      <w:rPr>
        <w:rFonts w:ascii="Courier New" w:hAnsi="Courier New" w:hint="default"/>
      </w:rPr>
    </w:lvl>
    <w:lvl w:ilvl="5" w:tplc="CB5ACACC">
      <w:start w:val="1"/>
      <w:numFmt w:val="bullet"/>
      <w:lvlText w:val=""/>
      <w:lvlJc w:val="left"/>
      <w:pPr>
        <w:ind w:left="4320" w:hanging="360"/>
      </w:pPr>
      <w:rPr>
        <w:rFonts w:ascii="Wingdings" w:hAnsi="Wingdings" w:hint="default"/>
      </w:rPr>
    </w:lvl>
    <w:lvl w:ilvl="6" w:tplc="83305A6A">
      <w:start w:val="1"/>
      <w:numFmt w:val="bullet"/>
      <w:lvlText w:val=""/>
      <w:lvlJc w:val="left"/>
      <w:pPr>
        <w:ind w:left="5040" w:hanging="360"/>
      </w:pPr>
      <w:rPr>
        <w:rFonts w:ascii="Symbol" w:hAnsi="Symbol" w:hint="default"/>
      </w:rPr>
    </w:lvl>
    <w:lvl w:ilvl="7" w:tplc="EC028DF6">
      <w:start w:val="1"/>
      <w:numFmt w:val="bullet"/>
      <w:lvlText w:val="o"/>
      <w:lvlJc w:val="left"/>
      <w:pPr>
        <w:ind w:left="5760" w:hanging="360"/>
      </w:pPr>
      <w:rPr>
        <w:rFonts w:ascii="Courier New" w:hAnsi="Courier New" w:hint="default"/>
      </w:rPr>
    </w:lvl>
    <w:lvl w:ilvl="8" w:tplc="A8BA9512">
      <w:start w:val="1"/>
      <w:numFmt w:val="bullet"/>
      <w:lvlText w:val=""/>
      <w:lvlJc w:val="left"/>
      <w:pPr>
        <w:ind w:left="6480" w:hanging="360"/>
      </w:pPr>
      <w:rPr>
        <w:rFonts w:ascii="Wingdings" w:hAnsi="Wingdings" w:hint="default"/>
      </w:rPr>
    </w:lvl>
  </w:abstractNum>
  <w:abstractNum w:abstractNumId="2" w15:restartNumberingAfterBreak="0">
    <w:nsid w:val="419E0654"/>
    <w:multiLevelType w:val="hybridMultilevel"/>
    <w:tmpl w:val="D8944280"/>
    <w:lvl w:ilvl="0" w:tplc="7A64EB08">
      <w:start w:val="1"/>
      <w:numFmt w:val="bullet"/>
      <w:lvlText w:val=""/>
      <w:lvlJc w:val="left"/>
      <w:pPr>
        <w:ind w:left="720" w:hanging="360"/>
      </w:pPr>
      <w:rPr>
        <w:rFonts w:ascii="Symbol" w:hAnsi="Symbol" w:hint="default"/>
      </w:rPr>
    </w:lvl>
    <w:lvl w:ilvl="1" w:tplc="2340CC5E">
      <w:start w:val="1"/>
      <w:numFmt w:val="bullet"/>
      <w:lvlText w:val="o"/>
      <w:lvlJc w:val="left"/>
      <w:pPr>
        <w:ind w:left="1440" w:hanging="360"/>
      </w:pPr>
      <w:rPr>
        <w:rFonts w:ascii="Courier New" w:hAnsi="Courier New" w:hint="default"/>
      </w:rPr>
    </w:lvl>
    <w:lvl w:ilvl="2" w:tplc="BC28CD62">
      <w:start w:val="1"/>
      <w:numFmt w:val="bullet"/>
      <w:lvlText w:val=""/>
      <w:lvlJc w:val="left"/>
      <w:pPr>
        <w:ind w:left="2160" w:hanging="360"/>
      </w:pPr>
      <w:rPr>
        <w:rFonts w:ascii="Symbol" w:hAnsi="Symbol" w:hint="default"/>
      </w:rPr>
    </w:lvl>
    <w:lvl w:ilvl="3" w:tplc="9DBA7FE0">
      <w:start w:val="1"/>
      <w:numFmt w:val="bullet"/>
      <w:lvlText w:val=""/>
      <w:lvlJc w:val="left"/>
      <w:pPr>
        <w:ind w:left="2880" w:hanging="360"/>
      </w:pPr>
      <w:rPr>
        <w:rFonts w:ascii="Symbol" w:hAnsi="Symbol" w:hint="default"/>
      </w:rPr>
    </w:lvl>
    <w:lvl w:ilvl="4" w:tplc="1FF2E938">
      <w:start w:val="1"/>
      <w:numFmt w:val="bullet"/>
      <w:lvlText w:val="o"/>
      <w:lvlJc w:val="left"/>
      <w:pPr>
        <w:ind w:left="3600" w:hanging="360"/>
      </w:pPr>
      <w:rPr>
        <w:rFonts w:ascii="Courier New" w:hAnsi="Courier New" w:hint="default"/>
      </w:rPr>
    </w:lvl>
    <w:lvl w:ilvl="5" w:tplc="B4EE943A">
      <w:start w:val="1"/>
      <w:numFmt w:val="bullet"/>
      <w:lvlText w:val=""/>
      <w:lvlJc w:val="left"/>
      <w:pPr>
        <w:ind w:left="4320" w:hanging="360"/>
      </w:pPr>
      <w:rPr>
        <w:rFonts w:ascii="Wingdings" w:hAnsi="Wingdings" w:hint="default"/>
      </w:rPr>
    </w:lvl>
    <w:lvl w:ilvl="6" w:tplc="DF32018C">
      <w:start w:val="1"/>
      <w:numFmt w:val="bullet"/>
      <w:lvlText w:val=""/>
      <w:lvlJc w:val="left"/>
      <w:pPr>
        <w:ind w:left="5040" w:hanging="360"/>
      </w:pPr>
      <w:rPr>
        <w:rFonts w:ascii="Symbol" w:hAnsi="Symbol" w:hint="default"/>
      </w:rPr>
    </w:lvl>
    <w:lvl w:ilvl="7" w:tplc="C0E6B6D2">
      <w:start w:val="1"/>
      <w:numFmt w:val="bullet"/>
      <w:lvlText w:val="o"/>
      <w:lvlJc w:val="left"/>
      <w:pPr>
        <w:ind w:left="5760" w:hanging="360"/>
      </w:pPr>
      <w:rPr>
        <w:rFonts w:ascii="Courier New" w:hAnsi="Courier New" w:hint="default"/>
      </w:rPr>
    </w:lvl>
    <w:lvl w:ilvl="8" w:tplc="2A8E09F6">
      <w:start w:val="1"/>
      <w:numFmt w:val="bullet"/>
      <w:lvlText w:val=""/>
      <w:lvlJc w:val="left"/>
      <w:pPr>
        <w:ind w:left="6480" w:hanging="360"/>
      </w:pPr>
      <w:rPr>
        <w:rFonts w:ascii="Wingdings" w:hAnsi="Wingdings" w:hint="default"/>
      </w:rPr>
    </w:lvl>
  </w:abstractNum>
  <w:abstractNum w:abstractNumId="3" w15:restartNumberingAfterBreak="0">
    <w:nsid w:val="434038BF"/>
    <w:multiLevelType w:val="hybridMultilevel"/>
    <w:tmpl w:val="57085DCC"/>
    <w:lvl w:ilvl="0" w:tplc="B3F6816A">
      <w:start w:val="1"/>
      <w:numFmt w:val="bullet"/>
      <w:lvlText w:val=""/>
      <w:lvlJc w:val="left"/>
      <w:pPr>
        <w:ind w:left="720" w:hanging="360"/>
      </w:pPr>
      <w:rPr>
        <w:rFonts w:ascii="Symbol" w:hAnsi="Symbol" w:hint="default"/>
      </w:rPr>
    </w:lvl>
    <w:lvl w:ilvl="1" w:tplc="2154E1B4">
      <w:start w:val="1"/>
      <w:numFmt w:val="bullet"/>
      <w:lvlText w:val="o"/>
      <w:lvlJc w:val="left"/>
      <w:pPr>
        <w:ind w:left="1440" w:hanging="360"/>
      </w:pPr>
      <w:rPr>
        <w:rFonts w:ascii="Courier New" w:hAnsi="Courier New" w:hint="default"/>
      </w:rPr>
    </w:lvl>
    <w:lvl w:ilvl="2" w:tplc="6B287EA4">
      <w:start w:val="1"/>
      <w:numFmt w:val="bullet"/>
      <w:lvlText w:val=""/>
      <w:lvlJc w:val="left"/>
      <w:pPr>
        <w:ind w:left="2160" w:hanging="360"/>
      </w:pPr>
      <w:rPr>
        <w:rFonts w:ascii="Symbol" w:hAnsi="Symbol" w:hint="default"/>
      </w:rPr>
    </w:lvl>
    <w:lvl w:ilvl="3" w:tplc="C11255B8">
      <w:start w:val="1"/>
      <w:numFmt w:val="bullet"/>
      <w:lvlText w:val=""/>
      <w:lvlJc w:val="left"/>
      <w:pPr>
        <w:ind w:left="2880" w:hanging="360"/>
      </w:pPr>
      <w:rPr>
        <w:rFonts w:ascii="Symbol" w:hAnsi="Symbol" w:hint="default"/>
      </w:rPr>
    </w:lvl>
    <w:lvl w:ilvl="4" w:tplc="058C1CD4">
      <w:start w:val="1"/>
      <w:numFmt w:val="bullet"/>
      <w:lvlText w:val="o"/>
      <w:lvlJc w:val="left"/>
      <w:pPr>
        <w:ind w:left="3600" w:hanging="360"/>
      </w:pPr>
      <w:rPr>
        <w:rFonts w:ascii="Courier New" w:hAnsi="Courier New" w:hint="default"/>
      </w:rPr>
    </w:lvl>
    <w:lvl w:ilvl="5" w:tplc="5440965E">
      <w:start w:val="1"/>
      <w:numFmt w:val="bullet"/>
      <w:lvlText w:val=""/>
      <w:lvlJc w:val="left"/>
      <w:pPr>
        <w:ind w:left="4320" w:hanging="360"/>
      </w:pPr>
      <w:rPr>
        <w:rFonts w:ascii="Wingdings" w:hAnsi="Wingdings" w:hint="default"/>
      </w:rPr>
    </w:lvl>
    <w:lvl w:ilvl="6" w:tplc="FFF61D08">
      <w:start w:val="1"/>
      <w:numFmt w:val="bullet"/>
      <w:lvlText w:val=""/>
      <w:lvlJc w:val="left"/>
      <w:pPr>
        <w:ind w:left="5040" w:hanging="360"/>
      </w:pPr>
      <w:rPr>
        <w:rFonts w:ascii="Symbol" w:hAnsi="Symbol" w:hint="default"/>
      </w:rPr>
    </w:lvl>
    <w:lvl w:ilvl="7" w:tplc="1F1AA054">
      <w:start w:val="1"/>
      <w:numFmt w:val="bullet"/>
      <w:lvlText w:val="o"/>
      <w:lvlJc w:val="left"/>
      <w:pPr>
        <w:ind w:left="5760" w:hanging="360"/>
      </w:pPr>
      <w:rPr>
        <w:rFonts w:ascii="Courier New" w:hAnsi="Courier New" w:hint="default"/>
      </w:rPr>
    </w:lvl>
    <w:lvl w:ilvl="8" w:tplc="2168D5E6">
      <w:start w:val="1"/>
      <w:numFmt w:val="bullet"/>
      <w:lvlText w:val=""/>
      <w:lvlJc w:val="left"/>
      <w:pPr>
        <w:ind w:left="6480" w:hanging="360"/>
      </w:pPr>
      <w:rPr>
        <w:rFonts w:ascii="Wingdings" w:hAnsi="Wingdings" w:hint="default"/>
      </w:rPr>
    </w:lvl>
  </w:abstractNum>
  <w:abstractNum w:abstractNumId="4" w15:restartNumberingAfterBreak="0">
    <w:nsid w:val="4E945982"/>
    <w:multiLevelType w:val="hybridMultilevel"/>
    <w:tmpl w:val="2E805858"/>
    <w:lvl w:ilvl="0" w:tplc="89C4ADD6">
      <w:start w:val="1"/>
      <w:numFmt w:val="bullet"/>
      <w:lvlText w:val=""/>
      <w:lvlJc w:val="left"/>
      <w:pPr>
        <w:ind w:left="720" w:hanging="360"/>
      </w:pPr>
      <w:rPr>
        <w:rFonts w:ascii="Symbol" w:hAnsi="Symbol" w:hint="default"/>
      </w:rPr>
    </w:lvl>
    <w:lvl w:ilvl="1" w:tplc="635AD20C">
      <w:start w:val="1"/>
      <w:numFmt w:val="bullet"/>
      <w:lvlText w:val="o"/>
      <w:lvlJc w:val="left"/>
      <w:pPr>
        <w:ind w:left="1440" w:hanging="360"/>
      </w:pPr>
      <w:rPr>
        <w:rFonts w:ascii="Courier New" w:hAnsi="Courier New" w:hint="default"/>
      </w:rPr>
    </w:lvl>
    <w:lvl w:ilvl="2" w:tplc="CDAA6C40">
      <w:start w:val="1"/>
      <w:numFmt w:val="bullet"/>
      <w:lvlText w:val=""/>
      <w:lvlJc w:val="left"/>
      <w:pPr>
        <w:ind w:left="2160" w:hanging="360"/>
      </w:pPr>
      <w:rPr>
        <w:rFonts w:ascii="Symbol" w:hAnsi="Symbol" w:hint="default"/>
      </w:rPr>
    </w:lvl>
    <w:lvl w:ilvl="3" w:tplc="3FEA8626">
      <w:start w:val="1"/>
      <w:numFmt w:val="bullet"/>
      <w:lvlText w:val=""/>
      <w:lvlJc w:val="left"/>
      <w:pPr>
        <w:ind w:left="2880" w:hanging="360"/>
      </w:pPr>
      <w:rPr>
        <w:rFonts w:ascii="Symbol" w:hAnsi="Symbol" w:hint="default"/>
      </w:rPr>
    </w:lvl>
    <w:lvl w:ilvl="4" w:tplc="E7AEC01E">
      <w:start w:val="1"/>
      <w:numFmt w:val="bullet"/>
      <w:lvlText w:val="o"/>
      <w:lvlJc w:val="left"/>
      <w:pPr>
        <w:ind w:left="3600" w:hanging="360"/>
      </w:pPr>
      <w:rPr>
        <w:rFonts w:ascii="Courier New" w:hAnsi="Courier New" w:hint="default"/>
      </w:rPr>
    </w:lvl>
    <w:lvl w:ilvl="5" w:tplc="C95ED9B8">
      <w:start w:val="1"/>
      <w:numFmt w:val="bullet"/>
      <w:lvlText w:val=""/>
      <w:lvlJc w:val="left"/>
      <w:pPr>
        <w:ind w:left="4320" w:hanging="360"/>
      </w:pPr>
      <w:rPr>
        <w:rFonts w:ascii="Wingdings" w:hAnsi="Wingdings" w:hint="default"/>
      </w:rPr>
    </w:lvl>
    <w:lvl w:ilvl="6" w:tplc="25B0406C">
      <w:start w:val="1"/>
      <w:numFmt w:val="bullet"/>
      <w:lvlText w:val=""/>
      <w:lvlJc w:val="left"/>
      <w:pPr>
        <w:ind w:left="5040" w:hanging="360"/>
      </w:pPr>
      <w:rPr>
        <w:rFonts w:ascii="Symbol" w:hAnsi="Symbol" w:hint="default"/>
      </w:rPr>
    </w:lvl>
    <w:lvl w:ilvl="7" w:tplc="FDD46580">
      <w:start w:val="1"/>
      <w:numFmt w:val="bullet"/>
      <w:lvlText w:val="o"/>
      <w:lvlJc w:val="left"/>
      <w:pPr>
        <w:ind w:left="5760" w:hanging="360"/>
      </w:pPr>
      <w:rPr>
        <w:rFonts w:ascii="Courier New" w:hAnsi="Courier New" w:hint="default"/>
      </w:rPr>
    </w:lvl>
    <w:lvl w:ilvl="8" w:tplc="3A4CEB52">
      <w:start w:val="1"/>
      <w:numFmt w:val="bullet"/>
      <w:lvlText w:val=""/>
      <w:lvlJc w:val="left"/>
      <w:pPr>
        <w:ind w:left="6480" w:hanging="360"/>
      </w:pPr>
      <w:rPr>
        <w:rFonts w:ascii="Wingdings" w:hAnsi="Wingdings" w:hint="default"/>
      </w:rPr>
    </w:lvl>
  </w:abstractNum>
  <w:abstractNum w:abstractNumId="5"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6F"/>
    <w:rsid w:val="00002F10"/>
    <w:rsid w:val="00003738"/>
    <w:rsid w:val="000430C1"/>
    <w:rsid w:val="00054E15"/>
    <w:rsid w:val="00070F9C"/>
    <w:rsid w:val="0007429B"/>
    <w:rsid w:val="0009266F"/>
    <w:rsid w:val="000A6BBF"/>
    <w:rsid w:val="000C554D"/>
    <w:rsid w:val="000F5C8E"/>
    <w:rsid w:val="00113EA8"/>
    <w:rsid w:val="00126E7E"/>
    <w:rsid w:val="00146C2A"/>
    <w:rsid w:val="001548D3"/>
    <w:rsid w:val="00155A28"/>
    <w:rsid w:val="00160231"/>
    <w:rsid w:val="00161680"/>
    <w:rsid w:val="00161914"/>
    <w:rsid w:val="00162E70"/>
    <w:rsid w:val="0017100A"/>
    <w:rsid w:val="001A7B3C"/>
    <w:rsid w:val="001C53D1"/>
    <w:rsid w:val="00216C7E"/>
    <w:rsid w:val="00252B9D"/>
    <w:rsid w:val="00266484"/>
    <w:rsid w:val="00290407"/>
    <w:rsid w:val="00292B8E"/>
    <w:rsid w:val="002B04E9"/>
    <w:rsid w:val="002F22D8"/>
    <w:rsid w:val="002F2EB4"/>
    <w:rsid w:val="00306821"/>
    <w:rsid w:val="00320228"/>
    <w:rsid w:val="00345ED6"/>
    <w:rsid w:val="003554EE"/>
    <w:rsid w:val="00384013"/>
    <w:rsid w:val="003A79E8"/>
    <w:rsid w:val="003B7F53"/>
    <w:rsid w:val="003E2723"/>
    <w:rsid w:val="003E5473"/>
    <w:rsid w:val="00401CCE"/>
    <w:rsid w:val="0040291B"/>
    <w:rsid w:val="004144B8"/>
    <w:rsid w:val="00421B59"/>
    <w:rsid w:val="00453DDC"/>
    <w:rsid w:val="0046026E"/>
    <w:rsid w:val="00474041"/>
    <w:rsid w:val="00484544"/>
    <w:rsid w:val="0048736A"/>
    <w:rsid w:val="004D6571"/>
    <w:rsid w:val="004F5877"/>
    <w:rsid w:val="004F7660"/>
    <w:rsid w:val="00500ABE"/>
    <w:rsid w:val="005221DD"/>
    <w:rsid w:val="005343FA"/>
    <w:rsid w:val="005618B8"/>
    <w:rsid w:val="005F0A06"/>
    <w:rsid w:val="00600F39"/>
    <w:rsid w:val="00600F93"/>
    <w:rsid w:val="006047BA"/>
    <w:rsid w:val="0061326D"/>
    <w:rsid w:val="006A68FF"/>
    <w:rsid w:val="006A7685"/>
    <w:rsid w:val="006B619A"/>
    <w:rsid w:val="006B7886"/>
    <w:rsid w:val="006C23E2"/>
    <w:rsid w:val="006D5C9B"/>
    <w:rsid w:val="006D6B35"/>
    <w:rsid w:val="007426FA"/>
    <w:rsid w:val="007453B3"/>
    <w:rsid w:val="0076FF6F"/>
    <w:rsid w:val="0077243F"/>
    <w:rsid w:val="00790369"/>
    <w:rsid w:val="00790CD0"/>
    <w:rsid w:val="007A1EAB"/>
    <w:rsid w:val="007A2D20"/>
    <w:rsid w:val="007D5D39"/>
    <w:rsid w:val="007F2FF1"/>
    <w:rsid w:val="00805FDD"/>
    <w:rsid w:val="008157D3"/>
    <w:rsid w:val="008759D8"/>
    <w:rsid w:val="00882697"/>
    <w:rsid w:val="00886411"/>
    <w:rsid w:val="008A202F"/>
    <w:rsid w:val="008A766F"/>
    <w:rsid w:val="008AB8E9"/>
    <w:rsid w:val="008D0A50"/>
    <w:rsid w:val="008E31EC"/>
    <w:rsid w:val="008F54AF"/>
    <w:rsid w:val="009213D2"/>
    <w:rsid w:val="0093866C"/>
    <w:rsid w:val="00944842"/>
    <w:rsid w:val="009472E6"/>
    <w:rsid w:val="00977B00"/>
    <w:rsid w:val="00991616"/>
    <w:rsid w:val="009A0C08"/>
    <w:rsid w:val="009A3B49"/>
    <w:rsid w:val="009B6357"/>
    <w:rsid w:val="009E6B9B"/>
    <w:rsid w:val="009F12FD"/>
    <w:rsid w:val="00A217CB"/>
    <w:rsid w:val="00A2252B"/>
    <w:rsid w:val="00A43C20"/>
    <w:rsid w:val="00A479CD"/>
    <w:rsid w:val="00A53D55"/>
    <w:rsid w:val="00A720A0"/>
    <w:rsid w:val="00A76D6F"/>
    <w:rsid w:val="00A86EB1"/>
    <w:rsid w:val="00AA2A10"/>
    <w:rsid w:val="00AA7A45"/>
    <w:rsid w:val="00AD5D17"/>
    <w:rsid w:val="00B63DCD"/>
    <w:rsid w:val="00B65493"/>
    <w:rsid w:val="00B662B4"/>
    <w:rsid w:val="00B72593"/>
    <w:rsid w:val="00B77566"/>
    <w:rsid w:val="00B87155"/>
    <w:rsid w:val="00B967F1"/>
    <w:rsid w:val="00B97A85"/>
    <w:rsid w:val="00BB1471"/>
    <w:rsid w:val="00BD20BB"/>
    <w:rsid w:val="00BD5C0F"/>
    <w:rsid w:val="00BF1956"/>
    <w:rsid w:val="00C10247"/>
    <w:rsid w:val="00C43815"/>
    <w:rsid w:val="00C514BD"/>
    <w:rsid w:val="00C61A69"/>
    <w:rsid w:val="00C828E1"/>
    <w:rsid w:val="00C918F4"/>
    <w:rsid w:val="00CB6ACE"/>
    <w:rsid w:val="00D022D8"/>
    <w:rsid w:val="00D065F2"/>
    <w:rsid w:val="00D217FF"/>
    <w:rsid w:val="00D424A0"/>
    <w:rsid w:val="00D629C6"/>
    <w:rsid w:val="00D71E55"/>
    <w:rsid w:val="00D7349A"/>
    <w:rsid w:val="00D8063E"/>
    <w:rsid w:val="00DC5BD3"/>
    <w:rsid w:val="00DE221C"/>
    <w:rsid w:val="00E1005F"/>
    <w:rsid w:val="00E23B30"/>
    <w:rsid w:val="00E45899"/>
    <w:rsid w:val="00E519D8"/>
    <w:rsid w:val="00E51B30"/>
    <w:rsid w:val="00E82E83"/>
    <w:rsid w:val="00EB3C68"/>
    <w:rsid w:val="00EB6583"/>
    <w:rsid w:val="00EB7919"/>
    <w:rsid w:val="00EC7EE2"/>
    <w:rsid w:val="00F03F42"/>
    <w:rsid w:val="00F07F24"/>
    <w:rsid w:val="00F31A1F"/>
    <w:rsid w:val="00F31CF9"/>
    <w:rsid w:val="00F3401F"/>
    <w:rsid w:val="00F41B84"/>
    <w:rsid w:val="00F74FD3"/>
    <w:rsid w:val="00FA4F63"/>
    <w:rsid w:val="00FD069C"/>
    <w:rsid w:val="00FD7953"/>
    <w:rsid w:val="0268017A"/>
    <w:rsid w:val="02CDCB80"/>
    <w:rsid w:val="032ECA27"/>
    <w:rsid w:val="04A6BF0D"/>
    <w:rsid w:val="0519DCA3"/>
    <w:rsid w:val="054FE392"/>
    <w:rsid w:val="055FC508"/>
    <w:rsid w:val="05616967"/>
    <w:rsid w:val="058AB84F"/>
    <w:rsid w:val="05FBE277"/>
    <w:rsid w:val="06D147EB"/>
    <w:rsid w:val="075A8B91"/>
    <w:rsid w:val="0808E893"/>
    <w:rsid w:val="08138D0D"/>
    <w:rsid w:val="08990A29"/>
    <w:rsid w:val="09151E44"/>
    <w:rsid w:val="0975D447"/>
    <w:rsid w:val="09868DD1"/>
    <w:rsid w:val="0A17ED68"/>
    <w:rsid w:val="0A3988B5"/>
    <w:rsid w:val="0AEC7806"/>
    <w:rsid w:val="0B6FF5CA"/>
    <w:rsid w:val="0BBF2516"/>
    <w:rsid w:val="0BD0AAEB"/>
    <w:rsid w:val="0BD55916"/>
    <w:rsid w:val="0C72DE77"/>
    <w:rsid w:val="0C884867"/>
    <w:rsid w:val="0CBEE2B1"/>
    <w:rsid w:val="0D1CB286"/>
    <w:rsid w:val="0D6C7B4C"/>
    <w:rsid w:val="0DB4F176"/>
    <w:rsid w:val="0DEEF333"/>
    <w:rsid w:val="0EA7968C"/>
    <w:rsid w:val="0EF3C7F3"/>
    <w:rsid w:val="0F019D23"/>
    <w:rsid w:val="0F3DEF12"/>
    <w:rsid w:val="0FE6C2BF"/>
    <w:rsid w:val="0FF228DC"/>
    <w:rsid w:val="0FF5D67C"/>
    <w:rsid w:val="10211202"/>
    <w:rsid w:val="10E81EC5"/>
    <w:rsid w:val="118B2064"/>
    <w:rsid w:val="11949FA6"/>
    <w:rsid w:val="11FD5C22"/>
    <w:rsid w:val="125012FA"/>
    <w:rsid w:val="13220521"/>
    <w:rsid w:val="13355D9D"/>
    <w:rsid w:val="134CD7BF"/>
    <w:rsid w:val="13ADB59A"/>
    <w:rsid w:val="141BE858"/>
    <w:rsid w:val="14935A4C"/>
    <w:rsid w:val="14B3180B"/>
    <w:rsid w:val="15531C48"/>
    <w:rsid w:val="15983D19"/>
    <w:rsid w:val="15D45352"/>
    <w:rsid w:val="162B3936"/>
    <w:rsid w:val="162C1908"/>
    <w:rsid w:val="162F2AAD"/>
    <w:rsid w:val="167BEBBA"/>
    <w:rsid w:val="16B7A09F"/>
    <w:rsid w:val="16C77ECD"/>
    <w:rsid w:val="1731BABC"/>
    <w:rsid w:val="175D5545"/>
    <w:rsid w:val="18098B38"/>
    <w:rsid w:val="18485D47"/>
    <w:rsid w:val="18A595A4"/>
    <w:rsid w:val="18AA3621"/>
    <w:rsid w:val="18AD35B5"/>
    <w:rsid w:val="1941630B"/>
    <w:rsid w:val="19745238"/>
    <w:rsid w:val="19FF1F8F"/>
    <w:rsid w:val="1B14BA33"/>
    <w:rsid w:val="1B2FB5F8"/>
    <w:rsid w:val="1B57BF69"/>
    <w:rsid w:val="1C94D16B"/>
    <w:rsid w:val="1D29D77B"/>
    <w:rsid w:val="1DAB1130"/>
    <w:rsid w:val="1DD0933F"/>
    <w:rsid w:val="1DEBEF7A"/>
    <w:rsid w:val="1EB615CC"/>
    <w:rsid w:val="2118C32C"/>
    <w:rsid w:val="211DF760"/>
    <w:rsid w:val="215F1BDC"/>
    <w:rsid w:val="215FBD90"/>
    <w:rsid w:val="219D0342"/>
    <w:rsid w:val="22E737FA"/>
    <w:rsid w:val="2349A8F1"/>
    <w:rsid w:val="23B2568C"/>
    <w:rsid w:val="23C96B68"/>
    <w:rsid w:val="23F9CE20"/>
    <w:rsid w:val="2408A830"/>
    <w:rsid w:val="24416F11"/>
    <w:rsid w:val="249FD5BB"/>
    <w:rsid w:val="250DB7F2"/>
    <w:rsid w:val="25BD4E3F"/>
    <w:rsid w:val="26359529"/>
    <w:rsid w:val="27DC4F47"/>
    <w:rsid w:val="2867E48D"/>
    <w:rsid w:val="2904AD3B"/>
    <w:rsid w:val="293DE27C"/>
    <w:rsid w:val="29510564"/>
    <w:rsid w:val="29884DF0"/>
    <w:rsid w:val="29D3D005"/>
    <w:rsid w:val="2AABB149"/>
    <w:rsid w:val="2AB18BCB"/>
    <w:rsid w:val="2AE29072"/>
    <w:rsid w:val="2AFF6646"/>
    <w:rsid w:val="2B435F3C"/>
    <w:rsid w:val="2BA4AA95"/>
    <w:rsid w:val="2C5B3BF8"/>
    <w:rsid w:val="2C6940DE"/>
    <w:rsid w:val="2C76D7F4"/>
    <w:rsid w:val="2D9EAA93"/>
    <w:rsid w:val="2DB39D32"/>
    <w:rsid w:val="2DBD40D8"/>
    <w:rsid w:val="2E1A3134"/>
    <w:rsid w:val="2EADA9CC"/>
    <w:rsid w:val="2EC6DCC1"/>
    <w:rsid w:val="2ED6142E"/>
    <w:rsid w:val="2FA8804C"/>
    <w:rsid w:val="301EBDE5"/>
    <w:rsid w:val="30D64B55"/>
    <w:rsid w:val="31219D96"/>
    <w:rsid w:val="312F0CD1"/>
    <w:rsid w:val="324FDA3C"/>
    <w:rsid w:val="325CA767"/>
    <w:rsid w:val="325D0C0E"/>
    <w:rsid w:val="3273BABB"/>
    <w:rsid w:val="329AACEF"/>
    <w:rsid w:val="32A86784"/>
    <w:rsid w:val="33206CE8"/>
    <w:rsid w:val="33FE6C15"/>
    <w:rsid w:val="34BC3D49"/>
    <w:rsid w:val="355A7086"/>
    <w:rsid w:val="35D81028"/>
    <w:rsid w:val="36801D96"/>
    <w:rsid w:val="3729727D"/>
    <w:rsid w:val="37CD22D3"/>
    <w:rsid w:val="37E91EED"/>
    <w:rsid w:val="38126242"/>
    <w:rsid w:val="38B986BD"/>
    <w:rsid w:val="3912B0DA"/>
    <w:rsid w:val="39A11081"/>
    <w:rsid w:val="39B2B517"/>
    <w:rsid w:val="39D6FBC5"/>
    <w:rsid w:val="39EBB7D9"/>
    <w:rsid w:val="3AFE8592"/>
    <w:rsid w:val="3BB66975"/>
    <w:rsid w:val="3BF9C4AC"/>
    <w:rsid w:val="3C604908"/>
    <w:rsid w:val="3D05C4F0"/>
    <w:rsid w:val="3D10D22E"/>
    <w:rsid w:val="3D1B1F17"/>
    <w:rsid w:val="3D481A1B"/>
    <w:rsid w:val="3D543169"/>
    <w:rsid w:val="3D6736C5"/>
    <w:rsid w:val="3DE3220D"/>
    <w:rsid w:val="3E23E796"/>
    <w:rsid w:val="3E3D27A9"/>
    <w:rsid w:val="3E9B3BA2"/>
    <w:rsid w:val="3EC72795"/>
    <w:rsid w:val="3F501D71"/>
    <w:rsid w:val="3FDE5838"/>
    <w:rsid w:val="3FF729A8"/>
    <w:rsid w:val="403F688F"/>
    <w:rsid w:val="406AF0CC"/>
    <w:rsid w:val="40920740"/>
    <w:rsid w:val="40A269D7"/>
    <w:rsid w:val="40C57755"/>
    <w:rsid w:val="4155ABCD"/>
    <w:rsid w:val="417D30C3"/>
    <w:rsid w:val="41BDF098"/>
    <w:rsid w:val="422012D4"/>
    <w:rsid w:val="42D34FC3"/>
    <w:rsid w:val="439AF0C7"/>
    <w:rsid w:val="43D90A4C"/>
    <w:rsid w:val="445F6077"/>
    <w:rsid w:val="447D9FE4"/>
    <w:rsid w:val="4496E5CD"/>
    <w:rsid w:val="449FFB29"/>
    <w:rsid w:val="44D7FF07"/>
    <w:rsid w:val="44E93628"/>
    <w:rsid w:val="454C1AD1"/>
    <w:rsid w:val="45534A35"/>
    <w:rsid w:val="45A4CB0D"/>
    <w:rsid w:val="45C9C50B"/>
    <w:rsid w:val="463F1BF4"/>
    <w:rsid w:val="46F0FA32"/>
    <w:rsid w:val="47DFFE8E"/>
    <w:rsid w:val="48679ED9"/>
    <w:rsid w:val="489404E3"/>
    <w:rsid w:val="48B23681"/>
    <w:rsid w:val="490F26DD"/>
    <w:rsid w:val="496D1198"/>
    <w:rsid w:val="4B27755D"/>
    <w:rsid w:val="4B28C23B"/>
    <w:rsid w:val="4C3DA70C"/>
    <w:rsid w:val="4C6F0798"/>
    <w:rsid w:val="4C7C1E62"/>
    <w:rsid w:val="4D1A4990"/>
    <w:rsid w:val="4D3B0FFC"/>
    <w:rsid w:val="4D6BCF55"/>
    <w:rsid w:val="4D77E4EB"/>
    <w:rsid w:val="4DC3095D"/>
    <w:rsid w:val="4DD9776D"/>
    <w:rsid w:val="4DFE5EC8"/>
    <w:rsid w:val="4E1278CC"/>
    <w:rsid w:val="4E12D2DB"/>
    <w:rsid w:val="4E23E579"/>
    <w:rsid w:val="4E5373AC"/>
    <w:rsid w:val="4EC9D6D9"/>
    <w:rsid w:val="4F4B49E0"/>
    <w:rsid w:val="5020A245"/>
    <w:rsid w:val="502EE8BF"/>
    <w:rsid w:val="50CF1698"/>
    <w:rsid w:val="5111182F"/>
    <w:rsid w:val="511857E5"/>
    <w:rsid w:val="511DFD87"/>
    <w:rsid w:val="512E2412"/>
    <w:rsid w:val="513A6C0F"/>
    <w:rsid w:val="5188D319"/>
    <w:rsid w:val="52433993"/>
    <w:rsid w:val="52B982FC"/>
    <w:rsid w:val="531ABE6F"/>
    <w:rsid w:val="53472ADB"/>
    <w:rsid w:val="53ACE76E"/>
    <w:rsid w:val="53F4E928"/>
    <w:rsid w:val="54F41368"/>
    <w:rsid w:val="575F37D5"/>
    <w:rsid w:val="58259DD5"/>
    <w:rsid w:val="584B02AA"/>
    <w:rsid w:val="588D3BCE"/>
    <w:rsid w:val="58C85A4B"/>
    <w:rsid w:val="591915DC"/>
    <w:rsid w:val="591F771D"/>
    <w:rsid w:val="5929AA69"/>
    <w:rsid w:val="59635BC2"/>
    <w:rsid w:val="59AE5C2E"/>
    <w:rsid w:val="5A35CC64"/>
    <w:rsid w:val="5AA06EE4"/>
    <w:rsid w:val="5AB5D47E"/>
    <w:rsid w:val="5AECF432"/>
    <w:rsid w:val="5B2158FA"/>
    <w:rsid w:val="5C4B01B5"/>
    <w:rsid w:val="5CD9EFE4"/>
    <w:rsid w:val="5D505EE5"/>
    <w:rsid w:val="5DEC705D"/>
    <w:rsid w:val="5E766604"/>
    <w:rsid w:val="5EDEBDAD"/>
    <w:rsid w:val="5F602788"/>
    <w:rsid w:val="5F66CEF8"/>
    <w:rsid w:val="6036C60F"/>
    <w:rsid w:val="60B87A80"/>
    <w:rsid w:val="613FBF9D"/>
    <w:rsid w:val="61CCA223"/>
    <w:rsid w:val="61F442D0"/>
    <w:rsid w:val="623AD7EE"/>
    <w:rsid w:val="62B30490"/>
    <w:rsid w:val="62D3CAFC"/>
    <w:rsid w:val="633955EA"/>
    <w:rsid w:val="636E66D1"/>
    <w:rsid w:val="6466CA41"/>
    <w:rsid w:val="64EBE4D1"/>
    <w:rsid w:val="65296E8A"/>
    <w:rsid w:val="6559949C"/>
    <w:rsid w:val="657278B0"/>
    <w:rsid w:val="66AECE3D"/>
    <w:rsid w:val="67230525"/>
    <w:rsid w:val="68210A76"/>
    <w:rsid w:val="685157F6"/>
    <w:rsid w:val="6851658B"/>
    <w:rsid w:val="68D8E955"/>
    <w:rsid w:val="690DE82C"/>
    <w:rsid w:val="692F4AEF"/>
    <w:rsid w:val="6940C6CD"/>
    <w:rsid w:val="699CC3A0"/>
    <w:rsid w:val="69E95386"/>
    <w:rsid w:val="6A5978A3"/>
    <w:rsid w:val="6A5FC809"/>
    <w:rsid w:val="6B00403E"/>
    <w:rsid w:val="6B5A5C0C"/>
    <w:rsid w:val="6BBD40B5"/>
    <w:rsid w:val="6BCFEC8F"/>
    <w:rsid w:val="6C34BCB6"/>
    <w:rsid w:val="6CA8144C"/>
    <w:rsid w:val="6D122331"/>
    <w:rsid w:val="6D619519"/>
    <w:rsid w:val="6E1B75D1"/>
    <w:rsid w:val="6E327DB7"/>
    <w:rsid w:val="6ED4539A"/>
    <w:rsid w:val="6F8BB40E"/>
    <w:rsid w:val="6FA4DC6B"/>
    <w:rsid w:val="703BDCE5"/>
    <w:rsid w:val="703FC041"/>
    <w:rsid w:val="7059C49F"/>
    <w:rsid w:val="70B9A455"/>
    <w:rsid w:val="70D85523"/>
    <w:rsid w:val="70F02773"/>
    <w:rsid w:val="7224DFB1"/>
    <w:rsid w:val="724DE21F"/>
    <w:rsid w:val="72785EFC"/>
    <w:rsid w:val="72E68A2F"/>
    <w:rsid w:val="72EBFD2F"/>
    <w:rsid w:val="73126359"/>
    <w:rsid w:val="7360C439"/>
    <w:rsid w:val="73FAFC68"/>
    <w:rsid w:val="74142F5D"/>
    <w:rsid w:val="742EF5E9"/>
    <w:rsid w:val="74725941"/>
    <w:rsid w:val="7483061B"/>
    <w:rsid w:val="74844C53"/>
    <w:rsid w:val="752E793D"/>
    <w:rsid w:val="75DE7431"/>
    <w:rsid w:val="75FD7018"/>
    <w:rsid w:val="769DC2D1"/>
    <w:rsid w:val="7838DF14"/>
    <w:rsid w:val="786448FF"/>
    <w:rsid w:val="789081EF"/>
    <w:rsid w:val="78C8DDE5"/>
    <w:rsid w:val="7A1B7764"/>
    <w:rsid w:val="7A809187"/>
    <w:rsid w:val="7AE644C8"/>
    <w:rsid w:val="7AF70F14"/>
    <w:rsid w:val="7B4E4972"/>
    <w:rsid w:val="7BCD7032"/>
    <w:rsid w:val="7C150F60"/>
    <w:rsid w:val="7C2924B5"/>
    <w:rsid w:val="7C2CD5FC"/>
    <w:rsid w:val="7C6442C9"/>
    <w:rsid w:val="7C9678DF"/>
    <w:rsid w:val="7CA80AC8"/>
    <w:rsid w:val="7D824DAD"/>
    <w:rsid w:val="7D97C10C"/>
    <w:rsid w:val="7E6786B6"/>
    <w:rsid w:val="7E72204A"/>
    <w:rsid w:val="7E99FDC4"/>
    <w:rsid w:val="7EEEE887"/>
    <w:rsid w:val="7F96D7D2"/>
    <w:rsid w:val="7FF65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B53E3"/>
  <w15:chartTrackingRefBased/>
  <w15:docId w15:val="{D89D4B5F-BEBA-4E28-A2B7-AF55AB57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semiHidden/>
    <w:unhideWhenUsed/>
    <w:qFormat/>
    <w:rsid w:val="00C918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 w:type="paragraph" w:styleId="Textodebalo">
    <w:name w:val="Balloon Text"/>
    <w:basedOn w:val="Normal"/>
    <w:link w:val="TextodebaloChar"/>
    <w:uiPriority w:val="99"/>
    <w:semiHidden/>
    <w:unhideWhenUsed/>
    <w:rsid w:val="00D217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17FF"/>
    <w:rPr>
      <w:rFonts w:ascii="Segoe UI" w:hAnsi="Segoe UI" w:cs="Segoe UI"/>
      <w:sz w:val="18"/>
      <w:szCs w:val="18"/>
      <w:lang w:eastAsia="en-US"/>
    </w:rPr>
  </w:style>
  <w:style w:type="character" w:customStyle="1" w:styleId="Ttulo3Char">
    <w:name w:val="Título 3 Char"/>
    <w:basedOn w:val="Fontepargpadro"/>
    <w:link w:val="Ttulo3"/>
    <w:uiPriority w:val="9"/>
    <w:semiHidden/>
    <w:rsid w:val="00C918F4"/>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3524">
      <w:bodyDiv w:val="1"/>
      <w:marLeft w:val="0"/>
      <w:marRight w:val="0"/>
      <w:marTop w:val="0"/>
      <w:marBottom w:val="0"/>
      <w:divBdr>
        <w:top w:val="none" w:sz="0" w:space="0" w:color="auto"/>
        <w:left w:val="none" w:sz="0" w:space="0" w:color="auto"/>
        <w:bottom w:val="none" w:sz="0" w:space="0" w:color="auto"/>
        <w:right w:val="none" w:sz="0" w:space="0" w:color="auto"/>
      </w:divBdr>
    </w:div>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17505190">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 w:id="20771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C1572787C30B4F99021FB34482205F" ma:contentTypeVersion="44" ma:contentTypeDescription="Crie um novo documento." ma:contentTypeScope="" ma:versionID="d49233cd4a42851cf824c6c70c8ef6bc">
  <xsd:schema xmlns:xsd="http://www.w3.org/2001/XMLSchema" xmlns:xs="http://www.w3.org/2001/XMLSchema" xmlns:p="http://schemas.microsoft.com/office/2006/metadata/properties" xmlns:ns1="http://schemas.microsoft.com/sharepoint/v3" xmlns:ns2="381ee611-f51f-4a36-8d42-e44f8919228b" xmlns:ns3="ecd6a4d5-e1fa-482d-9b58-df5bcc529663" xmlns:ns4="08f45e07-babe-4fd3-8114-8f2d7de090d1" targetNamespace="http://schemas.microsoft.com/office/2006/metadata/properties" ma:root="true" ma:fieldsID="5fbf8bbb3b9d35f9b0455efca5693078" ns1:_="" ns2:_="" ns3:_="" ns4:_="">
    <xsd:import namespace="http://schemas.microsoft.com/sharepoint/v3"/>
    <xsd:import namespace="381ee611-f51f-4a36-8d42-e44f8919228b"/>
    <xsd:import namespace="ecd6a4d5-e1fa-482d-9b58-df5bcc529663"/>
    <xsd:import namespace="08f45e07-babe-4fd3-8114-8f2d7de090d1"/>
    <xsd:element name="properties">
      <xsd:complexType>
        <xsd:sequence>
          <xsd:element name="documentManagement">
            <xsd:complexType>
              <xsd:all>
                <xsd:element ref="ns2:AssuntodoDocumento" minOccurs="0"/>
                <xsd:element ref="ns2:Destinatario" minOccurs="0"/>
                <xsd:element ref="ns2:Entidade" minOccurs="0"/>
                <xsd:element ref="ns2:TipodoDocumento" minOccurs="0"/>
                <xsd:element ref="ns3:Revisor"/>
                <xsd:element ref="ns3:Entregador"/>
                <xsd:element ref="ns3:Processo" minOccurs="0"/>
                <xsd:element ref="ns3:Cliente" minOccurs="0"/>
                <xsd:element ref="ns3:NomeAlterado" minOccurs="0"/>
                <xsd:element ref="ns1:PublishingStartDate" minOccurs="0"/>
                <xsd:element ref="ns1:PublishingExpirationDate" minOccurs="0"/>
                <xsd:element ref="ns3:Status" minOccurs="0"/>
                <xsd:element ref="ns3:Entrega" minOccurs="0"/>
                <xsd:element ref="ns3:Fluxo_x0020_de_x0020_Documentos" minOccurs="0"/>
                <xsd:element ref="ns3:Assunto_x0020_do_x0020_Documento_x003a_Assunto" minOccurs="0"/>
                <xsd:element ref="ns3:Assunto_x0020_do_x0020_Documento_x003a_Campo" minOccurs="0"/>
                <xsd:element ref="ns3:Tipo_x0020_do_x0020_Documento_x003a_G_x00ea_nero" minOccurs="0"/>
                <xsd:element ref="ns3:Tipo_x0020_do_x0020_Documento_x003a_Classe" minOccurs="0"/>
                <xsd:element ref="ns3:Tipo_x0020_do_x0020_Documento_x003a_Esp_x00e9_cie" minOccurs="0"/>
                <xsd:element ref="ns2:SharedWithUsers" minOccurs="0"/>
                <xsd:element ref="ns2:SharingHintHash" minOccurs="0"/>
                <xsd:element ref="ns2:SharedWithDetails" minOccurs="0"/>
                <xsd:element ref="ns3:Enviar_x0020_para_x0020_Status_x0020_Entregue" minOccurs="0"/>
                <xsd:element ref="ns3:Habilitar_x0020_Mudan_x00e7_a_x0020_de_x0020_No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Tarefa" minOccurs="0"/>
                <xsd:element ref="ns4:AcervoCri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ma:readOnly="false">
      <xsd:simpleType>
        <xsd:restriction base="dms:Unknown"/>
      </xsd:simpleType>
    </xsd:element>
    <xsd:element name="PublishingExpirationDate" ma:index="17"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AssuntodoDocumento" ma:index="2" nillable="true" ma:displayName="Assunto do Documento" ma:description="Selecione o assunto de direito material do documento em desenvolvimento." ma:list="{43833cd5-331d-4000-8693-6473ec3c6426}" ma:internalName="AssuntodoDocumento" ma:readOnly="false" ma:showField="Rotulo" ma:web="381ee611-f51f-4a36-8d42-e44f8919228b">
      <xsd:simpleType>
        <xsd:restriction base="dms:Lookup"/>
      </xsd:simpleType>
    </xsd:element>
    <xsd:element name="Destinatario" ma:index="3" nillable="true" ma:displayName="Destinatário" ma:description="Selecione o destinatário do documento" ma:list="{6ad91ecd-9915-4046-a122-8a16adf60bae}" ma:internalName="Destinatario" ma:readOnly="false" ma:showField="Concatenado" ma:web="381ee611-f51f-4a36-8d42-e44f8919228b">
      <xsd:simpleType>
        <xsd:restriction base="dms:Lookup"/>
      </xsd:simpleType>
    </xsd:element>
    <xsd:element name="Entidade" ma:index="4" nillable="true" ma:displayName="Entidade" ma:list="{0530ef28-ea81-4d35-a44a-724592257bf6}" ma:internalName="Entidade" ma:readOnly="false" ma:showField="_x006c_ti4" ma:web="381ee611-f51f-4a36-8d42-e44f8919228b">
      <xsd:simpleType>
        <xsd:restriction base="dms:Lookup"/>
      </xsd:simpleType>
    </xsd:element>
    <xsd:element name="TipodoDocumento" ma:index="5" nillable="true" ma:displayName="Tipo do Documento" ma:list="{f834045d-1b98-4af9-a18e-d11c11bceac1}" ma:internalName="TipodoDocumento" ma:readOnly="false" ma:showField="Title" ma:web="381ee611-f51f-4a36-8d42-e44f8919228b">
      <xsd:simpleType>
        <xsd:restriction base="dms:Lookup"/>
      </xsd:simpleType>
    </xsd:element>
    <xsd:element name="SharedWithUsers" ma:index="27" nillable="true" ma:displayName="Compartilhado com"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8" nillable="true" ma:displayName="Hash de Dica de Compartilhamento" ma:hidden="true" ma:internalName="SharingHintHash" ma:readOnly="true">
      <xsd:simpleType>
        <xsd:restriction base="dms:Text"/>
      </xsd:simpleType>
    </xsd:element>
    <xsd:element name="SharedWithDetails" ma:index="29" nillable="true" ma:displayName="Detalhes de Compartilhado Com"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d6a4d5-e1fa-482d-9b58-df5bcc529663" elementFormDefault="qualified">
    <xsd:import namespace="http://schemas.microsoft.com/office/2006/documentManagement/types"/>
    <xsd:import namespace="http://schemas.microsoft.com/office/infopath/2007/PartnerControls"/>
    <xsd:element name="Revisor" ma:index="6" ma:displayName="Revisor" ma:description="Indique o revisor previsto para o documento em desenvolvimento." ma:list="UserInfo" ma:SharePointGroup="0" ma:internalName="Re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ntregador" ma:index="7" ma:displayName="Entregador" ma:description="Indique o entregador previsto para o documento em desenvolvimento." ma:list="UserInfo" ma:SharePointGroup="0" ma:internalName="Entregad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o" ma:index="8" nillable="true" ma:displayName="Processo" ma:description="Indique o número do processo" ma:internalName="Processo" ma:readOnly="false">
      <xsd:simpleType>
        <xsd:restriction base="dms:Text">
          <xsd:maxLength value="255"/>
        </xsd:restriction>
      </xsd:simpleType>
    </xsd:element>
    <xsd:element name="Cliente" ma:index="9" nillable="true" ma:displayName="Cliente" ma:description="Indique o nome completo ou a sigla do cliente em favor de quem se realiza o documento ou, se não houver, o escritório." ma:internalName="Cliente" ma:readOnly="false">
      <xsd:simpleType>
        <xsd:restriction base="dms:Text">
          <xsd:maxLength value="255"/>
        </xsd:restriction>
      </xsd:simpleType>
    </xsd:element>
    <xsd:element name="NomeAlterado" ma:index="10" nillable="true" ma:displayName="NomeAlterado" ma:default="0" ma:internalName="NomeAlterado" ma:readOnly="false">
      <xsd:simpleType>
        <xsd:restriction base="dms:Boolean"/>
      </xsd:simpleType>
    </xsd:element>
    <xsd:element name="Status" ma:index="18" nillable="true" ma:displayName="Status" ma:default="Em Desenvolvimento" ma:format="Dropdown" ma:internalName="Status">
      <xsd:simpleType>
        <xsd:restriction base="dms:Choice">
          <xsd:enumeration value="Em Desenvolvimento"/>
          <xsd:enumeration value="Verificar Revisor"/>
          <xsd:enumeration value="Verificar Entregador"/>
          <xsd:enumeration value="Encaminhando Para Revisão"/>
          <xsd:enumeration value="Em Revisão"/>
          <xsd:enumeration value="Revisão Rejeitada"/>
          <xsd:enumeration value="Encaminhando Para Entrega"/>
          <xsd:enumeration value="Em Entrega"/>
          <xsd:enumeration value="Entrega Rejeitada"/>
          <xsd:enumeration value="Entregue"/>
          <xsd:enumeration value="Verificar Assunto, Tipo e Cliente"/>
        </xsd:restriction>
      </xsd:simpleType>
    </xsd:element>
    <xsd:element name="Entrega" ma:index="19" nillable="true" ma:displayName="Entrega" ma:format="DateOnly" ma:hidden="true" ma:internalName="Entrega" ma:readOnly="false">
      <xsd:simpleType>
        <xsd:restriction base="dms:DateTime"/>
      </xsd:simpleType>
    </xsd:element>
    <xsd:element name="Fluxo_x0020_de_x0020_Documentos" ma:index="20" nillable="true" ma:displayName="Fluxo de Documentos" ma:hidden="true" ma:internalName="Fluxo_x0020_de_x0020_Documento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ssunto_x0020_do_x0020_Documento_x003a_Assunto" ma:index="21" nillable="true" ma:displayName="Assunto do Documento:Assunto" ma:hidden="true" ma:list="{43833cd5-331d-4000-8693-6473ec3c6426}" ma:internalName="Assunto_x0020_do_x0020_Documento_x003a_Assunto" ma:readOnly="true" ma:showField="Title" ma:web="381ee611-f51f-4a36-8d42-e44f8919228b">
      <xsd:simpleType>
        <xsd:restriction base="dms:Lookup"/>
      </xsd:simpleType>
    </xsd:element>
    <xsd:element name="Assunto_x0020_do_x0020_Documento_x003a_Campo" ma:index="22" nillable="true" ma:displayName="Assunto do Documento:Campo" ma:hidden="true" ma:list="{43833cd5-331d-4000-8693-6473ec3c6426}" ma:internalName="Assunto_x0020_do_x0020_Documento_x003a_Campo" ma:readOnly="true" ma:showField="Campo" ma:web="381ee611-f51f-4a36-8d42-e44f8919228b">
      <xsd:simpleType>
        <xsd:restriction base="dms:Lookup"/>
      </xsd:simpleType>
    </xsd:element>
    <xsd:element name="Tipo_x0020_do_x0020_Documento_x003a_G_x00ea_nero" ma:index="23" nillable="true" ma:displayName="Tipo do Documento:Gênero" ma:hidden="true" ma:list="{f834045d-1b98-4af9-a18e-d11c11bceac1}" ma:internalName="Tipo_x0020_do_x0020_Documento_x003a_G_x00ea_nero" ma:readOnly="true" ma:showField="Genero" ma:web="381ee611-f51f-4a36-8d42-e44f8919228b">
      <xsd:simpleType>
        <xsd:restriction base="dms:Lookup"/>
      </xsd:simpleType>
    </xsd:element>
    <xsd:element name="Tipo_x0020_do_x0020_Documento_x003a_Classe" ma:index="24" nillable="true" ma:displayName="Tipo do Documento:Classe" ma:hidden="true" ma:list="{f834045d-1b98-4af9-a18e-d11c11bceac1}" ma:internalName="Tipo_x0020_do_x0020_Documento_x003a_Classe" ma:readOnly="true" ma:showField="Classe" ma:web="381ee611-f51f-4a36-8d42-e44f8919228b">
      <xsd:simpleType>
        <xsd:restriction base="dms:Lookup"/>
      </xsd:simpleType>
    </xsd:element>
    <xsd:element name="Tipo_x0020_do_x0020_Documento_x003a_Esp_x00e9_cie" ma:index="25" nillable="true" ma:displayName="Tipo do Documento:Espécie" ma:hidden="true" ma:list="{f834045d-1b98-4af9-a18e-d11c11bceac1}" ma:internalName="Tipo_x0020_do_x0020_Documento_x003a_Esp_x00e9_cie" ma:readOnly="true" ma:showField="Especie" ma:web="381ee611-f51f-4a36-8d42-e44f8919228b">
      <xsd:simpleType>
        <xsd:restriction base="dms:Lookup"/>
      </xsd:simpleType>
    </xsd:element>
    <xsd:element name="Enviar_x0020_para_x0020_Status_x0020_Entregue" ma:index="30" nillable="true" ma:displayName="Enviar para Status Entregue" ma:hidden="true" ma:internalName="Enviar_x0020_para_x0020_Status_x0020_Entregu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Habilitar_x0020_Mudan_x00e7_a_x0020_de_x0020_Nome" ma:index="31" nillable="true" ma:displayName="Habilitar Mudança de Nome" ma:hidden="true" ma:internalName="Habilitar_x0020_Mudan_x00e7_a_x0020_de_x0020_No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45e07-babe-4fd3-8114-8f2d7de090d1" elementFormDefault="qualified">
    <xsd:import namespace="http://schemas.microsoft.com/office/2006/documentManagement/types"/>
    <xsd:import namespace="http://schemas.microsoft.com/office/infopath/2007/PartnerControls"/>
    <xsd:element name="Tarefa" ma:index="38" nillable="true" ma:displayName="Tarefa" ma:hidden="true" ma:list="{10858ef5-8c80-4fd4-b351-59323d024c4f}" ma:internalName="Tarefa" ma:readOnly="false" ma:showField="Title">
      <xsd:simpleType>
        <xsd:restriction base="dms:Lookup"/>
      </xsd:simpleType>
    </xsd:element>
    <xsd:element name="AcervoCriado" ma:index="39" nillable="true" ma:displayName="AcervoCriado" ma:default="0" ma:internalName="AcervoCriad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ú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viar_x0020_para_x0020_Status_x0020_Entregue xmlns="ecd6a4d5-e1fa-482d-9b58-df5bcc529663">
      <Url xsi:nil="true"/>
      <Description xsi:nil="true"/>
    </Enviar_x0020_para_x0020_Status_x0020_Entregue>
    <Fluxo_x0020_de_x0020_Documentos xmlns="ecd6a4d5-e1fa-482d-9b58-df5bcc529663">
      <Url xsi:nil="true"/>
      <Description xsi:nil="true"/>
    </Fluxo_x0020_de_x0020_Documentos>
    <AcervoCriado xmlns="08f45e07-babe-4fd3-8114-8f2d7de090d1">false</AcervoCriado>
    <Status xmlns="ecd6a4d5-e1fa-482d-9b58-df5bcc529663">Verificar Assunto, Tipo e Cliente</Status>
    <Entregador xmlns="ecd6a4d5-e1fa-482d-9b58-df5bcc529663">
      <UserInfo>
        <DisplayName>Julia Santos</DisplayName>
        <AccountId>2641</AccountId>
        <AccountType/>
      </UserInfo>
    </Entregador>
    <Processo xmlns="ecd6a4d5-e1fa-482d-9b58-df5bcc529663" xsi:nil="true"/>
    <NomeAlterado xmlns="ecd6a4d5-e1fa-482d-9b58-df5bcc529663">false</NomeAlterado>
    <Entidade xmlns="381ee611-f51f-4a36-8d42-e44f8919228b" xsi:nil="true"/>
    <Tarefa xmlns="08f45e07-babe-4fd3-8114-8f2d7de090d1" xsi:nil="true"/>
    <Destinatario xmlns="381ee611-f51f-4a36-8d42-e44f8919228b">43</Destinatario>
    <PublishingExpirationDate xmlns="http://schemas.microsoft.com/sharepoint/v3" xsi:nil="true"/>
    <Cliente xmlns="ecd6a4d5-e1fa-482d-9b58-df5bcc529663" xsi:nil="true"/>
    <AssuntodoDocumento xmlns="381ee611-f51f-4a36-8d42-e44f8919228b" xsi:nil="true"/>
    <PublishingStartDate xmlns="http://schemas.microsoft.com/sharepoint/v3" xsi:nil="true"/>
    <Revisor xmlns="ecd6a4d5-e1fa-482d-9b58-df5bcc529663">
      <UserInfo>
        <DisplayName>Rudi Cassel</DisplayName>
        <AccountId>80</AccountId>
        <AccountType/>
      </UserInfo>
    </Revisor>
    <Entrega xmlns="ecd6a4d5-e1fa-482d-9b58-df5bcc529663" xsi:nil="true"/>
    <Habilitar_x0020_Mudan_x00e7_a_x0020_de_x0020_Nome xmlns="ecd6a4d5-e1fa-482d-9b58-df5bcc529663">
      <Url xsi:nil="true"/>
      <Description xsi:nil="true"/>
    </Habilitar_x0020_Mudan_x00e7_a_x0020_de_x0020_Nome>
    <TipodoDocumento xmlns="381ee611-f51f-4a36-8d42-e44f8919228b">75</TipodoDocumento>
  </documentManagement>
</p:properties>
</file>

<file path=customXml/itemProps1.xml><?xml version="1.0" encoding="utf-8"?>
<ds:datastoreItem xmlns:ds="http://schemas.openxmlformats.org/officeDocument/2006/customXml" ds:itemID="{09B3AC7D-D28A-4D11-9C7E-6ECE986D1EB6}">
  <ds:schemaRefs>
    <ds:schemaRef ds:uri="http://schemas.openxmlformats.org/officeDocument/2006/bibliography"/>
  </ds:schemaRefs>
</ds:datastoreItem>
</file>

<file path=customXml/itemProps2.xml><?xml version="1.0" encoding="utf-8"?>
<ds:datastoreItem xmlns:ds="http://schemas.openxmlformats.org/officeDocument/2006/customXml" ds:itemID="{EB21C575-415E-4BAA-9BE4-69ED2F7B9963}">
  <ds:schemaRefs>
    <ds:schemaRef ds:uri="http://schemas.microsoft.com/sharepoint/v3/contenttype/forms"/>
  </ds:schemaRefs>
</ds:datastoreItem>
</file>

<file path=customXml/itemProps3.xml><?xml version="1.0" encoding="utf-8"?>
<ds:datastoreItem xmlns:ds="http://schemas.openxmlformats.org/officeDocument/2006/customXml" ds:itemID="{D25A66F8-3B98-42D2-9458-CDDEC48AE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ee611-f51f-4a36-8d42-e44f8919228b"/>
    <ds:schemaRef ds:uri="ecd6a4d5-e1fa-482d-9b58-df5bcc529663"/>
    <ds:schemaRef ds:uri="08f45e07-babe-4fd3-8114-8f2d7de09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1D4BF-AF52-438D-BA69-A2A876A39351}">
  <ds:schemaRefs>
    <ds:schemaRef ds:uri="08f45e07-babe-4fd3-8114-8f2d7de090d1"/>
    <ds:schemaRef ds:uri="ecd6a4d5-e1fa-482d-9b58-df5bcc529663"/>
    <ds:schemaRef ds:uri="http://schemas.microsoft.com/office/infopath/2007/PartnerControls"/>
    <ds:schemaRef ds:uri="http://purl.org/dc/terms/"/>
    <ds:schemaRef ds:uri="http://schemas.microsoft.com/sharepoint/v3"/>
    <ds:schemaRef ds:uri="http://schemas.microsoft.com/office/2006/documentManagement/types"/>
    <ds:schemaRef ds:uri="http://purl.org/dc/elements/1.1/"/>
    <ds:schemaRef ds:uri="http://schemas.openxmlformats.org/package/2006/metadata/core-properties"/>
    <ds:schemaRef ds:uri="http://purl.org/dc/dcmitype/"/>
    <ds:schemaRef ds:uri="381ee611-f51f-4a36-8d42-e44f8919228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47</Pages>
  <Words>19854</Words>
  <Characters>107215</Characters>
  <Application>Microsoft Office Word</Application>
  <DocSecurity>0</DocSecurity>
  <Lines>893</Lines>
  <Paragraphs>253</Paragraphs>
  <ScaleCrop>false</ScaleCrop>
  <Company>Microsoft</Company>
  <LinksUpToDate>false</LinksUpToDate>
  <CharactersWithSpaces>126816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 Ruzzarin</dc:creator>
  <cp:keywords/>
  <cp:lastModifiedBy>Rudi Cassel</cp:lastModifiedBy>
  <cp:revision>29</cp:revision>
  <cp:lastPrinted>2015-01-02T11:55:00Z</cp:lastPrinted>
  <dcterms:created xsi:type="dcterms:W3CDTF">2015-01-02T11:42:00Z</dcterms:created>
  <dcterms:modified xsi:type="dcterms:W3CDTF">2021-06-25T12:00:00Z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0x010100CAC1572787C30B4F99021FB34482205F</vt:lpwstr>
  </property>
</Properties>
</file>