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37517" w14:textId="00859F0B" w:rsidR="3A9B58FE" w:rsidRDefault="0CEF1A09" w:rsidP="0D1069A5">
      <w:pPr>
        <w:spacing w:after="0" w:line="240" w:lineRule="auto"/>
        <w:jc w:val="both"/>
      </w:pPr>
      <w:r w:rsidRPr="0D1069A5">
        <w:rPr>
          <w:rFonts w:ascii="Times New Roman" w:eastAsia="Times New Roman" w:hAnsi="Times New Roman"/>
          <w:color w:val="000000" w:themeColor="text1"/>
          <w:sz w:val="26"/>
          <w:szCs w:val="26"/>
        </w:rPr>
        <w:t>Excelentíssimo Senhor Presidente</w:t>
      </w:r>
    </w:p>
    <w:p w14:paraId="42746685" w14:textId="16D11D77" w:rsidR="3A9B58FE" w:rsidRDefault="0CEF1A09" w:rsidP="0D1069A5">
      <w:pPr>
        <w:spacing w:after="0" w:line="240" w:lineRule="auto"/>
        <w:jc w:val="both"/>
      </w:pPr>
      <w:r w:rsidRPr="0D1069A5">
        <w:rPr>
          <w:rFonts w:ascii="Times New Roman" w:eastAsia="Times New Roman" w:hAnsi="Times New Roman"/>
          <w:color w:val="000000" w:themeColor="text1"/>
          <w:sz w:val="26"/>
          <w:szCs w:val="26"/>
        </w:rPr>
        <w:t>Desembargador Federal REIS FRIEDE</w:t>
      </w:r>
    </w:p>
    <w:p w14:paraId="06218AE3" w14:textId="31490633" w:rsidR="3A9B58FE" w:rsidRDefault="0CEF1A09" w:rsidP="0D1069A5">
      <w:pPr>
        <w:spacing w:after="0" w:line="240" w:lineRule="auto"/>
        <w:jc w:val="both"/>
        <w:rPr>
          <w:rFonts w:ascii="Times New Roman" w:eastAsia="Times New Roman" w:hAnsi="Times New Roman"/>
          <w:b/>
          <w:bCs/>
          <w:color w:val="000000" w:themeColor="text1"/>
          <w:sz w:val="26"/>
          <w:szCs w:val="26"/>
        </w:rPr>
      </w:pPr>
      <w:r w:rsidRPr="0D1069A5">
        <w:rPr>
          <w:rFonts w:ascii="Times New Roman" w:eastAsia="Times New Roman" w:hAnsi="Times New Roman"/>
          <w:b/>
          <w:bCs/>
          <w:color w:val="000000" w:themeColor="text1"/>
          <w:sz w:val="26"/>
          <w:szCs w:val="26"/>
        </w:rPr>
        <w:t>Tribunal Regional Federal da 2ª Região</w:t>
      </w:r>
    </w:p>
    <w:p w14:paraId="77C407A6" w14:textId="52A81EE2" w:rsidR="3A9B58FE" w:rsidRDefault="0CEF1A09" w:rsidP="0D1069A5">
      <w:pPr>
        <w:spacing w:after="0" w:line="240" w:lineRule="auto"/>
        <w:jc w:val="both"/>
        <w:rPr>
          <w:rFonts w:ascii="Times New Roman" w:eastAsia="Times New Roman" w:hAnsi="Times New Roman"/>
          <w:color w:val="000000" w:themeColor="text1"/>
          <w:sz w:val="26"/>
          <w:szCs w:val="26"/>
          <w:u w:val="single"/>
        </w:rPr>
      </w:pPr>
      <w:r w:rsidRPr="0D1069A5">
        <w:rPr>
          <w:rFonts w:ascii="Times New Roman" w:eastAsia="Times New Roman" w:hAnsi="Times New Roman"/>
          <w:color w:val="000000" w:themeColor="text1"/>
          <w:sz w:val="26"/>
          <w:szCs w:val="26"/>
          <w:u w:val="single"/>
        </w:rPr>
        <w:t>Rio de Janeiro - RJ</w:t>
      </w:r>
    </w:p>
    <w:p w14:paraId="259FB609" w14:textId="68314E91" w:rsidR="3A9B58FE" w:rsidRDefault="3A9B58FE" w:rsidP="0D1069A5">
      <w:pPr>
        <w:spacing w:after="0" w:line="240" w:lineRule="auto"/>
        <w:ind w:left="1701"/>
        <w:jc w:val="both"/>
        <w:rPr>
          <w:rFonts w:ascii="Times New Roman" w:eastAsia="Times New Roman" w:hAnsi="Times New Roman"/>
          <w:color w:val="000000" w:themeColor="text1"/>
          <w:sz w:val="26"/>
          <w:szCs w:val="26"/>
        </w:rPr>
      </w:pPr>
    </w:p>
    <w:p w14:paraId="3ED8E640" w14:textId="358C73F4" w:rsidR="3A9B58FE" w:rsidRDefault="3A9B58FE" w:rsidP="3A9B58FE">
      <w:pPr>
        <w:spacing w:after="0" w:line="240" w:lineRule="auto"/>
        <w:ind w:left="1701"/>
        <w:jc w:val="both"/>
        <w:rPr>
          <w:rFonts w:ascii="Times New Roman" w:eastAsia="Times New Roman" w:hAnsi="Times New Roman"/>
          <w:color w:val="000000" w:themeColor="text1"/>
          <w:sz w:val="26"/>
          <w:szCs w:val="26"/>
        </w:rPr>
      </w:pPr>
    </w:p>
    <w:p w14:paraId="6B46045A" w14:textId="7CC3ABF8" w:rsidR="3A9B58FE" w:rsidRDefault="3A9B58FE" w:rsidP="0D1069A5">
      <w:pPr>
        <w:spacing w:after="0" w:line="240" w:lineRule="auto"/>
        <w:ind w:left="1701"/>
        <w:jc w:val="both"/>
        <w:rPr>
          <w:rFonts w:ascii="Times New Roman" w:eastAsia="Times New Roman" w:hAnsi="Times New Roman"/>
          <w:color w:val="000000" w:themeColor="text1"/>
          <w:sz w:val="26"/>
          <w:szCs w:val="26"/>
        </w:rPr>
      </w:pPr>
    </w:p>
    <w:p w14:paraId="437E028C" w14:textId="451EC538" w:rsidR="3A9B58FE" w:rsidRDefault="3A9B58FE" w:rsidP="3A9B58FE">
      <w:pPr>
        <w:spacing w:after="0" w:line="240" w:lineRule="auto"/>
        <w:ind w:left="1701"/>
        <w:jc w:val="both"/>
        <w:rPr>
          <w:rFonts w:ascii="Times New Roman" w:eastAsia="Times New Roman" w:hAnsi="Times New Roman"/>
          <w:color w:val="000000" w:themeColor="text1"/>
          <w:sz w:val="26"/>
          <w:szCs w:val="26"/>
        </w:rPr>
      </w:pPr>
    </w:p>
    <w:p w14:paraId="0015F9E2" w14:textId="0334019A" w:rsidR="63C1004F" w:rsidRDefault="63C1004F" w:rsidP="5928C0D7">
      <w:pPr>
        <w:spacing w:after="0" w:line="240" w:lineRule="auto"/>
        <w:ind w:left="1701"/>
        <w:jc w:val="both"/>
        <w:rPr>
          <w:rFonts w:ascii="Times New Roman" w:eastAsia="Times New Roman" w:hAnsi="Times New Roman"/>
          <w:color w:val="000000" w:themeColor="text1"/>
          <w:sz w:val="26"/>
          <w:szCs w:val="26"/>
        </w:rPr>
      </w:pPr>
      <w:r w:rsidRPr="5928C0D7">
        <w:rPr>
          <w:rFonts w:ascii="Times New Roman" w:eastAsia="Times New Roman" w:hAnsi="Times New Roman"/>
          <w:color w:val="000000" w:themeColor="text1"/>
          <w:sz w:val="26"/>
          <w:szCs w:val="26"/>
        </w:rPr>
        <w:t xml:space="preserve">Ementa: </w:t>
      </w:r>
      <w:r w:rsidR="105EF19B" w:rsidRPr="5928C0D7">
        <w:rPr>
          <w:rFonts w:ascii="Times New Roman" w:eastAsia="Times New Roman" w:hAnsi="Times New Roman"/>
          <w:b/>
          <w:bCs/>
          <w:color w:val="000000" w:themeColor="text1"/>
          <w:sz w:val="26"/>
          <w:szCs w:val="26"/>
        </w:rPr>
        <w:t xml:space="preserve">Descumprimento de decisão proferida no MS coletivo nº </w:t>
      </w:r>
      <w:r w:rsidR="5FB70745" w:rsidRPr="5928C0D7">
        <w:rPr>
          <w:rFonts w:ascii="Times New Roman" w:eastAsia="Times New Roman" w:hAnsi="Times New Roman"/>
          <w:b/>
          <w:bCs/>
          <w:sz w:val="26"/>
          <w:szCs w:val="26"/>
        </w:rPr>
        <w:t>0098714-30.2017.4.02.5101</w:t>
      </w:r>
      <w:r w:rsidR="008372E0">
        <w:rPr>
          <w:rFonts w:ascii="Times New Roman" w:eastAsia="Times New Roman" w:hAnsi="Times New Roman"/>
          <w:b/>
          <w:bCs/>
          <w:sz w:val="26"/>
          <w:szCs w:val="26"/>
        </w:rPr>
        <w:t xml:space="preserve"> e no AI </w:t>
      </w:r>
      <w:r w:rsidR="008372E0" w:rsidRPr="008372E0">
        <w:rPr>
          <w:rFonts w:ascii="Times New Roman" w:eastAsia="Times New Roman" w:hAnsi="Times New Roman"/>
          <w:b/>
          <w:bCs/>
          <w:sz w:val="26"/>
          <w:szCs w:val="26"/>
        </w:rPr>
        <w:t>nº 0003266-07.2017.4.02.0000</w:t>
      </w:r>
      <w:r w:rsidR="105EF19B" w:rsidRPr="5928C0D7">
        <w:rPr>
          <w:rFonts w:ascii="Times New Roman" w:eastAsia="Times New Roman" w:hAnsi="Times New Roman"/>
          <w:color w:val="000000" w:themeColor="text1"/>
          <w:sz w:val="26"/>
          <w:szCs w:val="26"/>
        </w:rPr>
        <w:t>.</w:t>
      </w:r>
      <w:r w:rsidR="008372E0">
        <w:rPr>
          <w:rFonts w:ascii="Times New Roman" w:eastAsia="Times New Roman" w:hAnsi="Times New Roman"/>
          <w:color w:val="000000" w:themeColor="text1"/>
          <w:sz w:val="26"/>
          <w:szCs w:val="26"/>
        </w:rPr>
        <w:t xml:space="preserve"> </w:t>
      </w:r>
      <w:r w:rsidR="6990FC84" w:rsidRPr="5928C0D7">
        <w:rPr>
          <w:rFonts w:ascii="Times New Roman" w:eastAsia="Times New Roman" w:hAnsi="Times New Roman"/>
          <w:color w:val="000000" w:themeColor="text1"/>
          <w:sz w:val="26"/>
          <w:szCs w:val="26"/>
        </w:rPr>
        <w:t>Inobservância do</w:t>
      </w:r>
      <w:r w:rsidR="17D392DE" w:rsidRPr="5928C0D7">
        <w:rPr>
          <w:rFonts w:ascii="Times New Roman" w:eastAsia="Times New Roman" w:hAnsi="Times New Roman"/>
          <w:color w:val="000000" w:themeColor="text1"/>
          <w:sz w:val="26"/>
          <w:szCs w:val="26"/>
        </w:rPr>
        <w:t xml:space="preserve"> posicionamento contemporâneo do Supremo Tribunal Federal. MS 36869, acórdãos em agravo regimental e embargos declaratórios que reconhecem a impossibilidade de corte remuneratório. Oficial de Justiça Avaliador Federal. Vantagem Pessoal Nominalmente Identificada, oriunda da incorporação dos quintos. Possibilidade de cumulação com Gratificação de Atividade Externa. Verbas de natureza distintas. Princípio da Legalidade. Violação à segurança jurídica. Vedação à aplicação retroativa de nova interpretação. Direito adquirido à cumulação. Decadência administrativa. Parcela compensatória.</w:t>
      </w:r>
    </w:p>
    <w:p w14:paraId="768B5701" w14:textId="1BC7FE81" w:rsidR="3A9B58FE" w:rsidRDefault="3A9B58FE" w:rsidP="0D1069A5">
      <w:pPr>
        <w:spacing w:after="0" w:line="240" w:lineRule="auto"/>
        <w:ind w:left="1701"/>
        <w:jc w:val="both"/>
        <w:rPr>
          <w:rFonts w:ascii="Times New Roman" w:eastAsia="Times New Roman" w:hAnsi="Times New Roman"/>
          <w:color w:val="000000" w:themeColor="text1"/>
          <w:sz w:val="26"/>
          <w:szCs w:val="26"/>
        </w:rPr>
      </w:pPr>
    </w:p>
    <w:p w14:paraId="3B735998" w14:textId="5E14FA0C" w:rsidR="3A9B58FE" w:rsidRDefault="3A9B58FE" w:rsidP="3A9B58FE">
      <w:pPr>
        <w:spacing w:after="0" w:line="240" w:lineRule="auto"/>
        <w:ind w:left="1701"/>
        <w:jc w:val="both"/>
        <w:rPr>
          <w:rFonts w:ascii="Times New Roman" w:eastAsia="Times New Roman" w:hAnsi="Times New Roman"/>
          <w:color w:val="000000" w:themeColor="text1"/>
          <w:sz w:val="26"/>
          <w:szCs w:val="26"/>
        </w:rPr>
      </w:pPr>
    </w:p>
    <w:p w14:paraId="37F17727" w14:textId="3C2C5790" w:rsidR="3A9B58FE" w:rsidRDefault="3A9B58FE" w:rsidP="0D1069A5">
      <w:pPr>
        <w:spacing w:after="0" w:line="240" w:lineRule="auto"/>
        <w:ind w:left="1701"/>
        <w:jc w:val="both"/>
        <w:rPr>
          <w:rFonts w:ascii="Times New Roman" w:eastAsia="Times New Roman" w:hAnsi="Times New Roman"/>
          <w:color w:val="000000" w:themeColor="text1"/>
          <w:sz w:val="26"/>
          <w:szCs w:val="26"/>
        </w:rPr>
      </w:pPr>
    </w:p>
    <w:p w14:paraId="0764C2E8" w14:textId="7154A8CE" w:rsidR="63C1004F" w:rsidRDefault="63C1004F" w:rsidP="3A9B58FE">
      <w:pPr>
        <w:spacing w:after="0" w:line="240" w:lineRule="auto"/>
        <w:ind w:firstLine="1701"/>
        <w:jc w:val="both"/>
        <w:rPr>
          <w:rFonts w:ascii="Times New Roman" w:eastAsia="Times New Roman" w:hAnsi="Times New Roman"/>
          <w:color w:val="000000" w:themeColor="text1"/>
          <w:sz w:val="26"/>
          <w:szCs w:val="26"/>
        </w:rPr>
      </w:pPr>
      <w:r w:rsidRPr="3A9B58FE">
        <w:rPr>
          <w:rFonts w:ascii="Times New Roman" w:eastAsia="Times New Roman" w:hAnsi="Times New Roman"/>
          <w:b/>
          <w:bCs/>
          <w:color w:val="000000" w:themeColor="text1"/>
          <w:sz w:val="26"/>
          <w:szCs w:val="26"/>
        </w:rPr>
        <w:t>[</w:t>
      </w:r>
      <w:r w:rsidRPr="3A9B58FE">
        <w:rPr>
          <w:rFonts w:ascii="Times New Roman" w:eastAsia="Times New Roman" w:hAnsi="Times New Roman"/>
          <w:b/>
          <w:bCs/>
          <w:color w:val="000000" w:themeColor="text1"/>
          <w:sz w:val="26"/>
          <w:szCs w:val="26"/>
          <w:highlight w:val="yellow"/>
        </w:rPr>
        <w:t>NOME</w:t>
      </w:r>
      <w:r w:rsidRPr="3A9B58FE">
        <w:rPr>
          <w:rFonts w:ascii="Times New Roman" w:eastAsia="Times New Roman" w:hAnsi="Times New Roman"/>
          <w:b/>
          <w:bCs/>
          <w:color w:val="000000" w:themeColor="text1"/>
          <w:sz w:val="26"/>
          <w:szCs w:val="26"/>
        </w:rPr>
        <w:t>]</w:t>
      </w:r>
      <w:r w:rsidRPr="3A9B58FE">
        <w:rPr>
          <w:rFonts w:ascii="Times New Roman" w:eastAsia="Times New Roman" w:hAnsi="Times New Roman"/>
          <w:color w:val="000000" w:themeColor="text1"/>
          <w:sz w:val="26"/>
          <w:szCs w:val="26"/>
        </w:rPr>
        <w:t>, [</w:t>
      </w:r>
      <w:r w:rsidRPr="3A9B58FE">
        <w:rPr>
          <w:rFonts w:ascii="Times New Roman" w:eastAsia="Times New Roman" w:hAnsi="Times New Roman"/>
          <w:color w:val="000000" w:themeColor="text1"/>
          <w:sz w:val="26"/>
          <w:szCs w:val="26"/>
          <w:highlight w:val="yellow"/>
        </w:rPr>
        <w:t>qualificação e endereço</w:t>
      </w:r>
      <w:r w:rsidRPr="3A9B58FE">
        <w:rPr>
          <w:rFonts w:ascii="Times New Roman" w:eastAsia="Times New Roman" w:hAnsi="Times New Roman"/>
          <w:color w:val="000000" w:themeColor="text1"/>
          <w:sz w:val="26"/>
          <w:szCs w:val="26"/>
        </w:rPr>
        <w:t xml:space="preserve">], em razão da notificação recebida, apresenta </w:t>
      </w:r>
      <w:r w:rsidRPr="3A9B58FE">
        <w:rPr>
          <w:rFonts w:ascii="Times New Roman" w:eastAsia="Times New Roman" w:hAnsi="Times New Roman"/>
          <w:b/>
          <w:bCs/>
          <w:color w:val="000000" w:themeColor="text1"/>
          <w:sz w:val="26"/>
          <w:szCs w:val="26"/>
        </w:rPr>
        <w:t>DEFESA INDIVIDUAL</w:t>
      </w:r>
      <w:r w:rsidRPr="3A9B58FE">
        <w:rPr>
          <w:rFonts w:ascii="Times New Roman" w:eastAsia="Times New Roman" w:hAnsi="Times New Roman"/>
          <w:color w:val="000000" w:themeColor="text1"/>
          <w:sz w:val="26"/>
          <w:szCs w:val="26"/>
        </w:rPr>
        <w:t>, com suporte nos fatos e fundamentos jurídicos seguintes.</w:t>
      </w:r>
    </w:p>
    <w:p w14:paraId="2EDA0E86" w14:textId="5EEF0916" w:rsidR="3A9B58FE" w:rsidRDefault="3A9B58FE" w:rsidP="3A9B58FE">
      <w:pPr>
        <w:spacing w:after="0" w:line="240" w:lineRule="auto"/>
        <w:ind w:firstLine="1701"/>
        <w:jc w:val="both"/>
        <w:rPr>
          <w:rFonts w:ascii="Times New Roman" w:eastAsia="Times New Roman" w:hAnsi="Times New Roman"/>
          <w:color w:val="000000" w:themeColor="text1"/>
          <w:sz w:val="26"/>
          <w:szCs w:val="26"/>
        </w:rPr>
      </w:pPr>
    </w:p>
    <w:p w14:paraId="3C71E127" w14:textId="4FBCE3E1" w:rsidR="63C1004F" w:rsidRDefault="63C1004F" w:rsidP="3A9B58FE">
      <w:pPr>
        <w:spacing w:after="0" w:line="240" w:lineRule="auto"/>
        <w:jc w:val="both"/>
        <w:rPr>
          <w:rFonts w:ascii="Times New Roman" w:eastAsia="Times New Roman" w:hAnsi="Times New Roman"/>
          <w:color w:val="000000" w:themeColor="text1"/>
          <w:sz w:val="26"/>
          <w:szCs w:val="26"/>
        </w:rPr>
      </w:pPr>
      <w:r w:rsidRPr="3A9B58FE">
        <w:rPr>
          <w:rFonts w:ascii="Times New Roman" w:eastAsia="Times New Roman" w:hAnsi="Times New Roman"/>
          <w:b/>
          <w:bCs/>
          <w:color w:val="000000" w:themeColor="text1"/>
          <w:sz w:val="26"/>
          <w:szCs w:val="26"/>
        </w:rPr>
        <w:t xml:space="preserve">1. </w:t>
      </w:r>
      <w:r w:rsidRPr="3A9B58FE">
        <w:rPr>
          <w:rFonts w:ascii="Times New Roman" w:eastAsia="Times New Roman" w:hAnsi="Times New Roman"/>
          <w:b/>
          <w:bCs/>
          <w:color w:val="000000" w:themeColor="text1"/>
          <w:sz w:val="26"/>
          <w:szCs w:val="26"/>
          <w:u w:val="single"/>
        </w:rPr>
        <w:t>SÍNTESE DO PROCESSO</w:t>
      </w:r>
    </w:p>
    <w:p w14:paraId="4CDC9164" w14:textId="12BF946C" w:rsidR="3A9B58FE" w:rsidRDefault="3A9B58FE" w:rsidP="3A9B58FE">
      <w:pPr>
        <w:spacing w:after="0" w:line="240" w:lineRule="auto"/>
        <w:ind w:firstLine="1701"/>
        <w:jc w:val="both"/>
        <w:rPr>
          <w:rFonts w:ascii="Times New Roman" w:eastAsia="Times New Roman" w:hAnsi="Times New Roman"/>
          <w:color w:val="000000" w:themeColor="text1"/>
          <w:sz w:val="26"/>
          <w:szCs w:val="26"/>
        </w:rPr>
      </w:pPr>
    </w:p>
    <w:p w14:paraId="169FD369" w14:textId="178A48C4" w:rsidR="63C1004F" w:rsidRDefault="63C1004F" w:rsidP="163427A8">
      <w:pPr>
        <w:spacing w:after="0" w:line="240" w:lineRule="auto"/>
        <w:ind w:firstLine="1701"/>
        <w:jc w:val="both"/>
        <w:rPr>
          <w:rFonts w:ascii="Times New Roman" w:eastAsia="Times New Roman" w:hAnsi="Times New Roman"/>
          <w:color w:val="000000" w:themeColor="text1"/>
          <w:sz w:val="26"/>
          <w:szCs w:val="26"/>
        </w:rPr>
      </w:pPr>
      <w:r w:rsidRPr="163427A8">
        <w:rPr>
          <w:rFonts w:ascii="Times New Roman" w:eastAsia="Times New Roman" w:hAnsi="Times New Roman"/>
          <w:color w:val="000000" w:themeColor="text1"/>
          <w:sz w:val="26"/>
          <w:szCs w:val="26"/>
        </w:rPr>
        <w:t xml:space="preserve">O arguente é servidor público federal </w:t>
      </w:r>
      <w:r w:rsidR="3C9A7477" w:rsidRPr="163427A8">
        <w:rPr>
          <w:rFonts w:ascii="Times New Roman" w:eastAsia="Times New Roman" w:hAnsi="Times New Roman"/>
          <w:color w:val="000000" w:themeColor="text1"/>
          <w:sz w:val="26"/>
          <w:szCs w:val="26"/>
          <w:highlight w:val="yellow"/>
        </w:rPr>
        <w:t>ativo/aposentado</w:t>
      </w:r>
      <w:r w:rsidRPr="163427A8">
        <w:rPr>
          <w:rFonts w:ascii="Times New Roman" w:eastAsia="Times New Roman" w:hAnsi="Times New Roman"/>
          <w:color w:val="000000" w:themeColor="text1"/>
          <w:sz w:val="26"/>
          <w:szCs w:val="26"/>
        </w:rPr>
        <w:t xml:space="preserve"> no cargo de Oficial de Justiça Avaliador Federal </w:t>
      </w:r>
      <w:r w:rsidRPr="163427A8">
        <w:rPr>
          <w:rFonts w:ascii="Times New Roman" w:eastAsia="Times New Roman" w:hAnsi="Times New Roman"/>
          <w:color w:val="000000" w:themeColor="text1"/>
          <w:sz w:val="26"/>
          <w:szCs w:val="26"/>
          <w:highlight w:val="yellow"/>
        </w:rPr>
        <w:t>d</w:t>
      </w:r>
      <w:r w:rsidR="7F5752BB" w:rsidRPr="163427A8">
        <w:rPr>
          <w:rFonts w:ascii="Times New Roman" w:eastAsia="Times New Roman" w:hAnsi="Times New Roman"/>
          <w:color w:val="000000" w:themeColor="text1"/>
          <w:sz w:val="26"/>
          <w:szCs w:val="26"/>
          <w:highlight w:val="yellow"/>
        </w:rPr>
        <w:t>a/o Seção Judiciária do Rio de Janeiro/</w:t>
      </w:r>
      <w:r w:rsidRPr="163427A8">
        <w:rPr>
          <w:rFonts w:ascii="Times New Roman" w:eastAsia="Times New Roman" w:hAnsi="Times New Roman"/>
          <w:color w:val="000000" w:themeColor="text1"/>
          <w:sz w:val="26"/>
          <w:szCs w:val="26"/>
          <w:highlight w:val="yellow"/>
        </w:rPr>
        <w:t>T</w:t>
      </w:r>
      <w:r w:rsidR="07F71CF9" w:rsidRPr="163427A8">
        <w:rPr>
          <w:rFonts w:ascii="Times New Roman" w:eastAsia="Times New Roman" w:hAnsi="Times New Roman"/>
          <w:color w:val="000000" w:themeColor="text1"/>
          <w:sz w:val="26"/>
          <w:szCs w:val="26"/>
          <w:highlight w:val="yellow"/>
        </w:rPr>
        <w:t>RF da 2ª Região</w:t>
      </w:r>
      <w:r w:rsidR="07F71CF9" w:rsidRPr="163427A8">
        <w:rPr>
          <w:rFonts w:ascii="Times New Roman" w:eastAsia="Times New Roman" w:hAnsi="Times New Roman"/>
          <w:color w:val="000000" w:themeColor="text1"/>
          <w:sz w:val="26"/>
          <w:szCs w:val="26"/>
        </w:rPr>
        <w:t>,</w:t>
      </w:r>
      <w:r w:rsidRPr="163427A8">
        <w:rPr>
          <w:rFonts w:ascii="Times New Roman" w:eastAsia="Times New Roman" w:hAnsi="Times New Roman"/>
          <w:color w:val="000000" w:themeColor="text1"/>
          <w:sz w:val="26"/>
          <w:szCs w:val="26"/>
        </w:rPr>
        <w:t xml:space="preserve"> e recebe a Vantagem Pessoal Nominalmente Identificada - VPNI, oriunda da incorporação de quintos, há mais de 10 (dez) anos, assim como percebe a Gratificação de Atividade Externa (GAE) pelo exercício do cargo de Oficial de Justiça</w:t>
      </w:r>
      <w:r w:rsidR="1F1915B5" w:rsidRPr="163427A8">
        <w:rPr>
          <w:rFonts w:ascii="Times New Roman" w:eastAsia="Times New Roman" w:hAnsi="Times New Roman"/>
          <w:color w:val="000000" w:themeColor="text1"/>
          <w:sz w:val="26"/>
          <w:szCs w:val="26"/>
        </w:rPr>
        <w:t>, de igual modo há mais de 10 (dez) anos.</w:t>
      </w:r>
    </w:p>
    <w:p w14:paraId="3E48F0A7" w14:textId="58227C90" w:rsidR="3A9B58FE" w:rsidRDefault="3A9B58FE" w:rsidP="3A9B58FE">
      <w:pPr>
        <w:spacing w:after="0" w:line="240" w:lineRule="auto"/>
        <w:ind w:firstLine="1701"/>
        <w:jc w:val="both"/>
        <w:rPr>
          <w:rFonts w:ascii="Times New Roman" w:eastAsia="Times New Roman" w:hAnsi="Times New Roman"/>
          <w:color w:val="000000" w:themeColor="text1"/>
          <w:sz w:val="26"/>
          <w:szCs w:val="26"/>
        </w:rPr>
      </w:pPr>
    </w:p>
    <w:p w14:paraId="0895B7B7" w14:textId="21577E90" w:rsidR="63C1004F" w:rsidRDefault="63C1004F" w:rsidP="5928C0D7">
      <w:pPr>
        <w:spacing w:after="0" w:line="240" w:lineRule="auto"/>
        <w:ind w:firstLine="1701"/>
        <w:jc w:val="both"/>
        <w:rPr>
          <w:rFonts w:ascii="Times New Roman" w:eastAsia="Times New Roman" w:hAnsi="Times New Roman"/>
          <w:color w:val="000000" w:themeColor="text1"/>
          <w:sz w:val="26"/>
          <w:szCs w:val="26"/>
        </w:rPr>
      </w:pPr>
      <w:r w:rsidRPr="5928C0D7">
        <w:rPr>
          <w:rFonts w:ascii="Times New Roman" w:eastAsia="Times New Roman" w:hAnsi="Times New Roman"/>
          <w:color w:val="000000" w:themeColor="text1"/>
          <w:sz w:val="26"/>
          <w:szCs w:val="26"/>
        </w:rPr>
        <w:t xml:space="preserve">Em razão de “indícios de irregularidades” apontados pelo Tribunal de Contas da União no que se refere ao pagamento cumulado de ambas as parcelas, este Regional notificou inúmeros servidores a fim de que se manifestem sobre a proposta apresentada pelo TCU, consistente na supressão das parcelas de quintos/décimos adquiridas em razão do exercício de funções típicas de oficial de </w:t>
      </w:r>
      <w:r w:rsidRPr="5928C0D7">
        <w:rPr>
          <w:rFonts w:ascii="Times New Roman" w:eastAsia="Times New Roman" w:hAnsi="Times New Roman"/>
          <w:color w:val="000000" w:themeColor="text1"/>
          <w:sz w:val="26"/>
          <w:szCs w:val="26"/>
        </w:rPr>
        <w:lastRenderedPageBreak/>
        <w:t>justiça ou transformação delas em parcelas compensatórias, caso não tenham sido absorvidas pelos aumentos ocorridos nos últimos cinco anos.</w:t>
      </w:r>
    </w:p>
    <w:p w14:paraId="654E2BE7" w14:textId="3860C020" w:rsidR="3A9B58FE" w:rsidRDefault="3A9B58FE" w:rsidP="3A9B58FE">
      <w:pPr>
        <w:spacing w:after="0" w:line="240" w:lineRule="auto"/>
        <w:ind w:firstLine="1701"/>
        <w:jc w:val="both"/>
        <w:rPr>
          <w:rFonts w:ascii="Times New Roman" w:eastAsia="Times New Roman" w:hAnsi="Times New Roman"/>
          <w:color w:val="000000" w:themeColor="text1"/>
          <w:sz w:val="26"/>
          <w:szCs w:val="26"/>
        </w:rPr>
      </w:pPr>
    </w:p>
    <w:p w14:paraId="379A5A27" w14:textId="608650A4" w:rsidR="63C1004F" w:rsidRDefault="63C1004F" w:rsidP="3A9B58FE">
      <w:pPr>
        <w:spacing w:after="0" w:line="240" w:lineRule="auto"/>
        <w:ind w:firstLine="1701"/>
        <w:jc w:val="both"/>
        <w:rPr>
          <w:rFonts w:ascii="Times New Roman" w:eastAsia="Times New Roman" w:hAnsi="Times New Roman"/>
          <w:color w:val="000000" w:themeColor="text1"/>
          <w:sz w:val="26"/>
          <w:szCs w:val="26"/>
        </w:rPr>
      </w:pPr>
      <w:r w:rsidRPr="3A9B58FE">
        <w:rPr>
          <w:rFonts w:ascii="Times New Roman" w:eastAsia="Times New Roman" w:hAnsi="Times New Roman"/>
          <w:color w:val="000000" w:themeColor="text1"/>
          <w:sz w:val="26"/>
          <w:szCs w:val="26"/>
        </w:rPr>
        <w:t>Nesse contexto, o arguente apresenta defesa administrativa, a fim de demonstrar a legalidade na manutenção do pagamento cumulado dos benefícios em análise.</w:t>
      </w:r>
    </w:p>
    <w:p w14:paraId="338F26F5" w14:textId="155F039E" w:rsidR="3A9B58FE" w:rsidRDefault="3A9B58FE" w:rsidP="3A9B58FE">
      <w:pPr>
        <w:spacing w:after="0" w:line="240" w:lineRule="auto"/>
        <w:ind w:firstLine="1701"/>
        <w:jc w:val="both"/>
        <w:rPr>
          <w:rFonts w:ascii="Times New Roman" w:eastAsia="Times New Roman" w:hAnsi="Times New Roman"/>
          <w:color w:val="000000" w:themeColor="text1"/>
          <w:sz w:val="26"/>
          <w:szCs w:val="26"/>
        </w:rPr>
      </w:pPr>
    </w:p>
    <w:p w14:paraId="3F7FBC9C" w14:textId="4AD74B78" w:rsidR="63C1004F" w:rsidRDefault="63C1004F" w:rsidP="3A9B58FE">
      <w:pPr>
        <w:spacing w:after="0" w:line="240" w:lineRule="auto"/>
        <w:ind w:firstLine="1701"/>
        <w:jc w:val="both"/>
        <w:rPr>
          <w:rFonts w:ascii="Times New Roman" w:eastAsia="Times New Roman" w:hAnsi="Times New Roman"/>
          <w:color w:val="000000" w:themeColor="text1"/>
          <w:sz w:val="26"/>
          <w:szCs w:val="26"/>
        </w:rPr>
      </w:pPr>
      <w:r w:rsidRPr="373D5F8C">
        <w:rPr>
          <w:rFonts w:ascii="Times New Roman" w:eastAsia="Times New Roman" w:hAnsi="Times New Roman"/>
          <w:color w:val="000000" w:themeColor="text1"/>
          <w:sz w:val="26"/>
          <w:szCs w:val="26"/>
        </w:rPr>
        <w:t>De plano, ressalta-se que a cumulação é legal, devido à natureza distinta de ambas as parcelas, além de não haver vedação na Lei nº 11.416, de 2006, que instituiu a GAE. Com efeito, a VPNI é oriunda da incorporação de quintos decorrentes do exercício de função comissionada, e a proibição decorrente do § 2º do artigo 16 da referida lei não se aplica à hipótese de incorporação</w:t>
      </w:r>
      <w:r w:rsidRPr="373D5F8C">
        <w:rPr>
          <w:rStyle w:val="Refdenotaderodap"/>
          <w:rFonts w:ascii="Times New Roman" w:eastAsia="Times New Roman" w:hAnsi="Times New Roman"/>
          <w:color w:val="000000" w:themeColor="text1"/>
          <w:sz w:val="26"/>
          <w:szCs w:val="26"/>
        </w:rPr>
        <w:footnoteReference w:id="1"/>
      </w:r>
      <w:r w:rsidRPr="373D5F8C">
        <w:rPr>
          <w:rFonts w:ascii="Times New Roman" w:eastAsia="Times New Roman" w:hAnsi="Times New Roman"/>
          <w:color w:val="000000" w:themeColor="text1"/>
          <w:sz w:val="26"/>
          <w:szCs w:val="26"/>
        </w:rPr>
        <w:t>.</w:t>
      </w:r>
    </w:p>
    <w:p w14:paraId="21FB9BB3" w14:textId="47256657" w:rsidR="3A9B58FE" w:rsidRDefault="3A9B58FE" w:rsidP="3A9B58FE">
      <w:pPr>
        <w:spacing w:after="0" w:line="240" w:lineRule="auto"/>
        <w:ind w:firstLine="1701"/>
        <w:jc w:val="both"/>
        <w:rPr>
          <w:rFonts w:ascii="Times New Roman" w:eastAsia="Times New Roman" w:hAnsi="Times New Roman"/>
          <w:color w:val="000000" w:themeColor="text1"/>
          <w:sz w:val="26"/>
          <w:szCs w:val="26"/>
        </w:rPr>
      </w:pPr>
    </w:p>
    <w:p w14:paraId="5FF18A40" w14:textId="145674B6" w:rsidR="63C1004F" w:rsidRDefault="63C1004F" w:rsidP="5928C0D7">
      <w:pPr>
        <w:spacing w:after="0" w:line="240" w:lineRule="auto"/>
        <w:ind w:firstLine="1701"/>
        <w:jc w:val="both"/>
        <w:rPr>
          <w:rFonts w:ascii="Times New Roman" w:eastAsia="Times New Roman" w:hAnsi="Times New Roman"/>
          <w:color w:val="000000" w:themeColor="text1"/>
          <w:sz w:val="26"/>
          <w:szCs w:val="26"/>
        </w:rPr>
      </w:pPr>
      <w:r w:rsidRPr="5928C0D7">
        <w:rPr>
          <w:rFonts w:ascii="Times New Roman" w:eastAsia="Times New Roman" w:hAnsi="Times New Roman"/>
          <w:color w:val="000000" w:themeColor="text1"/>
          <w:sz w:val="26"/>
          <w:szCs w:val="26"/>
        </w:rPr>
        <w:t xml:space="preserve">Não fosse suficiente, o arguente possui o direito adquirido ao recebimento de ambas as parcelas, pois já recebe a VPNI de quintos e a GAE, cumulativamente, há </w:t>
      </w:r>
      <w:r w:rsidR="45B5EC3D" w:rsidRPr="5928C0D7">
        <w:rPr>
          <w:rFonts w:ascii="Times New Roman" w:eastAsia="Times New Roman" w:hAnsi="Times New Roman"/>
          <w:color w:val="000000" w:themeColor="text1"/>
          <w:sz w:val="26"/>
          <w:szCs w:val="26"/>
        </w:rPr>
        <w:t>mais de</w:t>
      </w:r>
      <w:r w:rsidRPr="5928C0D7">
        <w:rPr>
          <w:rFonts w:ascii="Times New Roman" w:eastAsia="Times New Roman" w:hAnsi="Times New Roman"/>
          <w:color w:val="000000" w:themeColor="text1"/>
          <w:sz w:val="26"/>
          <w:szCs w:val="26"/>
        </w:rPr>
        <w:t xml:space="preserve"> 10 anos. Logo, o direito de a Administração rever seus atos foi atingido pela decadência.</w:t>
      </w:r>
    </w:p>
    <w:p w14:paraId="785AE609" w14:textId="541EED00" w:rsidR="3A9B58FE" w:rsidRDefault="3A9B58FE" w:rsidP="3A9B58FE">
      <w:pPr>
        <w:spacing w:after="0" w:line="240" w:lineRule="auto"/>
        <w:ind w:firstLine="1701"/>
        <w:jc w:val="both"/>
        <w:rPr>
          <w:rFonts w:ascii="Times New Roman" w:eastAsia="Times New Roman" w:hAnsi="Times New Roman"/>
          <w:color w:val="000000" w:themeColor="text1"/>
          <w:sz w:val="26"/>
          <w:szCs w:val="26"/>
        </w:rPr>
      </w:pPr>
    </w:p>
    <w:p w14:paraId="1B584995" w14:textId="3401D397" w:rsidR="63C1004F" w:rsidRDefault="63C1004F" w:rsidP="163427A8">
      <w:pPr>
        <w:spacing w:after="0" w:line="240" w:lineRule="auto"/>
        <w:ind w:firstLine="1701"/>
        <w:jc w:val="both"/>
        <w:rPr>
          <w:rFonts w:ascii="Times New Roman" w:eastAsia="Times New Roman" w:hAnsi="Times New Roman"/>
          <w:color w:val="000000" w:themeColor="text1"/>
          <w:sz w:val="26"/>
          <w:szCs w:val="26"/>
        </w:rPr>
      </w:pPr>
      <w:r w:rsidRPr="163427A8">
        <w:rPr>
          <w:rFonts w:ascii="Times New Roman" w:eastAsia="Times New Roman" w:hAnsi="Times New Roman"/>
          <w:color w:val="000000" w:themeColor="text1"/>
          <w:sz w:val="26"/>
          <w:szCs w:val="26"/>
        </w:rPr>
        <w:t xml:space="preserve">Mesmo assim, o Tribunal de Contas da União insiste em sustentar </w:t>
      </w:r>
      <w:r w:rsidR="0B93D799" w:rsidRPr="163427A8">
        <w:rPr>
          <w:rFonts w:ascii="Times New Roman" w:eastAsia="Times New Roman" w:hAnsi="Times New Roman"/>
          <w:color w:val="000000" w:themeColor="text1"/>
          <w:sz w:val="26"/>
          <w:szCs w:val="26"/>
        </w:rPr>
        <w:t>a ilegalidade d</w:t>
      </w:r>
      <w:r w:rsidRPr="163427A8">
        <w:rPr>
          <w:rFonts w:ascii="Times New Roman" w:eastAsia="Times New Roman" w:hAnsi="Times New Roman"/>
          <w:color w:val="000000" w:themeColor="text1"/>
          <w:sz w:val="26"/>
          <w:szCs w:val="26"/>
        </w:rPr>
        <w:t>o pagamento cumulado de ambas as parcelas.</w:t>
      </w:r>
    </w:p>
    <w:p w14:paraId="65B333A2" w14:textId="17D8B8E8" w:rsidR="3A9B58FE" w:rsidRDefault="3A9B58FE" w:rsidP="3A9B58FE">
      <w:pPr>
        <w:spacing w:after="0" w:line="240" w:lineRule="auto"/>
        <w:ind w:firstLine="1701"/>
        <w:jc w:val="both"/>
        <w:rPr>
          <w:rFonts w:ascii="Times New Roman" w:eastAsia="Times New Roman" w:hAnsi="Times New Roman"/>
          <w:color w:val="000000" w:themeColor="text1"/>
          <w:sz w:val="26"/>
          <w:szCs w:val="26"/>
        </w:rPr>
      </w:pPr>
    </w:p>
    <w:p w14:paraId="67599D7F" w14:textId="72E2693B" w:rsidR="0D1069A5" w:rsidRDefault="53F56213" w:rsidP="5928C0D7">
      <w:pPr>
        <w:spacing w:after="0" w:line="240" w:lineRule="auto"/>
        <w:ind w:firstLine="1701"/>
        <w:jc w:val="both"/>
        <w:rPr>
          <w:rFonts w:ascii="Times New Roman" w:eastAsia="Times New Roman" w:hAnsi="Times New Roman"/>
          <w:color w:val="000000" w:themeColor="text1"/>
          <w:sz w:val="26"/>
          <w:szCs w:val="26"/>
        </w:rPr>
      </w:pPr>
      <w:r w:rsidRPr="5928C0D7">
        <w:rPr>
          <w:rFonts w:ascii="Times New Roman" w:eastAsia="Times New Roman" w:hAnsi="Times New Roman"/>
          <w:color w:val="000000" w:themeColor="text1"/>
          <w:sz w:val="26"/>
          <w:szCs w:val="26"/>
        </w:rPr>
        <w:t>O equivocado entendimento da Corte de Contas, que sequer se dirige ao</w:t>
      </w:r>
      <w:r w:rsidR="130ED73F" w:rsidRPr="5928C0D7">
        <w:rPr>
          <w:rFonts w:ascii="Times New Roman" w:eastAsia="Times New Roman" w:hAnsi="Times New Roman"/>
          <w:color w:val="000000" w:themeColor="text1"/>
          <w:sz w:val="26"/>
          <w:szCs w:val="26"/>
        </w:rPr>
        <w:t xml:space="preserve"> interessado</w:t>
      </w:r>
      <w:r w:rsidRPr="5928C0D7">
        <w:rPr>
          <w:rFonts w:ascii="Times New Roman" w:eastAsia="Times New Roman" w:hAnsi="Times New Roman"/>
          <w:color w:val="000000" w:themeColor="text1"/>
          <w:sz w:val="26"/>
          <w:szCs w:val="26"/>
        </w:rPr>
        <w:t xml:space="preserve">, decorre do Acórdão 2.784/2016, por meio do qual apontou a impossibilidade de manter o ato de </w:t>
      </w:r>
      <w:r w:rsidRPr="5928C0D7">
        <w:rPr>
          <w:rFonts w:ascii="Times New Roman" w:eastAsia="Times New Roman" w:hAnsi="Times New Roman"/>
          <w:b/>
          <w:bCs/>
          <w:color w:val="000000" w:themeColor="text1"/>
          <w:sz w:val="26"/>
          <w:szCs w:val="26"/>
        </w:rPr>
        <w:t>aposentadoria</w:t>
      </w:r>
      <w:r w:rsidRPr="5928C0D7">
        <w:rPr>
          <w:rFonts w:ascii="Times New Roman" w:eastAsia="Times New Roman" w:hAnsi="Times New Roman"/>
          <w:color w:val="000000" w:themeColor="text1"/>
          <w:sz w:val="26"/>
          <w:szCs w:val="26"/>
        </w:rPr>
        <w:t xml:space="preserve"> de 4 servidores ocupantes do cargo de Oficial de Justiça Avaliador Federal vinculados ao Tribunal Regional Federal da 2ª Região, com a percepção conjunta da GAE e da VPNI decorrente de quintos, quando esta tiver como origem Função Comissionada de nível 5 ou Gratificação de Representação de Gabinete (GRG).</w:t>
      </w:r>
    </w:p>
    <w:p w14:paraId="1AC065E6" w14:textId="362DA8D1"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4CAF7857" w14:textId="62A9C443" w:rsidR="0D1069A5" w:rsidRDefault="53F56213" w:rsidP="16D0F8A3">
      <w:pPr>
        <w:spacing w:after="0" w:line="240" w:lineRule="auto"/>
        <w:ind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Conforme se extrai do acórdão, o relator, Ministro Benjamin Zymler, </w:t>
      </w:r>
      <w:r w:rsidRPr="16D0F8A3">
        <w:rPr>
          <w:rFonts w:ascii="Times New Roman" w:eastAsia="Times New Roman" w:hAnsi="Times New Roman"/>
          <w:b/>
          <w:bCs/>
          <w:color w:val="000000" w:themeColor="text1"/>
          <w:sz w:val="26"/>
          <w:szCs w:val="26"/>
        </w:rPr>
        <w:t>contrariando os pareceres da unidade técnica e do Ministério Público junto ao TCU</w:t>
      </w:r>
      <w:r w:rsidRPr="16D0F8A3">
        <w:rPr>
          <w:rFonts w:ascii="Times New Roman" w:eastAsia="Times New Roman" w:hAnsi="Times New Roman"/>
          <w:color w:val="000000" w:themeColor="text1"/>
          <w:sz w:val="26"/>
          <w:szCs w:val="26"/>
        </w:rPr>
        <w:t xml:space="preserve">, que entenderam pela </w:t>
      </w:r>
      <w:r w:rsidRPr="16D0F8A3">
        <w:rPr>
          <w:rFonts w:ascii="Times New Roman" w:eastAsia="Times New Roman" w:hAnsi="Times New Roman"/>
          <w:b/>
          <w:bCs/>
          <w:color w:val="000000" w:themeColor="text1"/>
          <w:sz w:val="26"/>
          <w:szCs w:val="26"/>
        </w:rPr>
        <w:t>legalidade</w:t>
      </w:r>
      <w:r w:rsidRPr="16D0F8A3">
        <w:rPr>
          <w:rFonts w:ascii="Times New Roman" w:eastAsia="Times New Roman" w:hAnsi="Times New Roman"/>
          <w:color w:val="000000" w:themeColor="text1"/>
          <w:sz w:val="26"/>
          <w:szCs w:val="26"/>
        </w:rPr>
        <w:t xml:space="preserve"> da incorporação dos quintos cumulativamente com a Gratificação de Atividade Externa, assentou que o artigo 16, § 2º, da Lei 11.416/2006, vedaria a percepção de forma cumulada, que também encontraria óbice na suposta natureza de “gratificação geral” das parcelas incorporadas:</w:t>
      </w:r>
    </w:p>
    <w:p w14:paraId="32F313BA" w14:textId="185A4F62"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003916BE" w14:textId="72FF07B5" w:rsidR="0D1069A5" w:rsidRDefault="53F56213"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 3. </w:t>
      </w:r>
      <w:r w:rsidRPr="16D0F8A3">
        <w:rPr>
          <w:rFonts w:ascii="Times New Roman" w:eastAsia="Times New Roman" w:hAnsi="Times New Roman"/>
          <w:b/>
          <w:bCs/>
          <w:color w:val="000000" w:themeColor="text1"/>
        </w:rPr>
        <w:t>Os pareceres exarados nos autos foram uníssonos pela legalidade dos atos</w:t>
      </w:r>
      <w:r w:rsidRPr="16D0F8A3">
        <w:rPr>
          <w:rFonts w:ascii="Times New Roman" w:eastAsia="Times New Roman" w:hAnsi="Times New Roman"/>
          <w:color w:val="000000" w:themeColor="text1"/>
        </w:rPr>
        <w:t>.</w:t>
      </w:r>
    </w:p>
    <w:p w14:paraId="5D66DD1E" w14:textId="0634DD4D" w:rsidR="0D1069A5" w:rsidRDefault="53F56213"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lastRenderedPageBreak/>
        <w:t>4. </w:t>
      </w:r>
      <w:r w:rsidRPr="16D0F8A3">
        <w:rPr>
          <w:rFonts w:ascii="Times New Roman" w:eastAsia="Times New Roman" w:hAnsi="Times New Roman"/>
          <w:b/>
          <w:bCs/>
          <w:color w:val="000000" w:themeColor="text1"/>
        </w:rPr>
        <w:t>Data maxima venia</w:t>
      </w:r>
      <w:r w:rsidRPr="16D0F8A3">
        <w:rPr>
          <w:rFonts w:ascii="Times New Roman" w:eastAsia="Times New Roman" w:hAnsi="Times New Roman"/>
          <w:color w:val="000000" w:themeColor="text1"/>
        </w:rPr>
        <w:t>, dissinto do encaminhamento proposto, exceto quanto ao ato número de controle 20782110-04-2015-000038-0 (servidor José Martins, Técnico Judiciário), em relação ao qual não faço reparos.</w:t>
      </w:r>
    </w:p>
    <w:p w14:paraId="054487E5" w14:textId="7E59E7F5" w:rsidR="0D1069A5" w:rsidRDefault="53F56213"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w:t>
      </w:r>
    </w:p>
    <w:p w14:paraId="6F7B8801" w14:textId="0EAFAECF" w:rsidR="0D1069A5" w:rsidRDefault="53F56213"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6. Ocorre que tanto a GRG quanto a FC-5 não possuía natureza de função de confiança, pois era paga a todos os ocupantes do cargo efetivo de Analista Judiciário, especialidade Oficial de Justiça Avaliador. Logo, a “investidura” na função não dependia de escolha da autoridade, do quesito confiança, inerente a todos os ocupantes de função comissionada. Tampouco poderiam seus ocupantes ser demitidos </w:t>
      </w:r>
      <w:r w:rsidRPr="16D0F8A3">
        <w:rPr>
          <w:rFonts w:ascii="Times New Roman" w:eastAsia="Times New Roman" w:hAnsi="Times New Roman"/>
          <w:b/>
          <w:bCs/>
          <w:color w:val="000000" w:themeColor="text1"/>
        </w:rPr>
        <w:t>ad nutum. </w:t>
      </w:r>
      <w:r w:rsidRPr="16D0F8A3">
        <w:rPr>
          <w:rFonts w:ascii="Times New Roman" w:eastAsia="Times New Roman" w:hAnsi="Times New Roman"/>
          <w:color w:val="000000" w:themeColor="text1"/>
        </w:rPr>
        <w:t>Assim, a despeito do </w:t>
      </w:r>
      <w:r w:rsidRPr="16D0F8A3">
        <w:rPr>
          <w:rFonts w:ascii="Times New Roman" w:eastAsia="Times New Roman" w:hAnsi="Times New Roman"/>
          <w:b/>
          <w:bCs/>
          <w:color w:val="000000" w:themeColor="text1"/>
        </w:rPr>
        <w:t>nomen iuris</w:t>
      </w:r>
      <w:r w:rsidRPr="16D0F8A3">
        <w:rPr>
          <w:rFonts w:ascii="Times New Roman" w:eastAsia="Times New Roman" w:hAnsi="Times New Roman"/>
          <w:color w:val="000000" w:themeColor="text1"/>
        </w:rPr>
        <w:t>, claro está que se tratava de verdadeira gratificação paga em razão do exercício das atribuições típicas do cargo (execução de mandatos) e criada por normativos internos do TRF da 2ª Região.</w:t>
      </w:r>
    </w:p>
    <w:p w14:paraId="3F7CF2DE" w14:textId="05B08E0A" w:rsidR="0D1069A5" w:rsidRDefault="53F56213"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w:t>
      </w:r>
    </w:p>
    <w:p w14:paraId="2A8E9D8E" w14:textId="4002E409" w:rsidR="0D1069A5" w:rsidRDefault="53F56213"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8. Embora a própria criação dessa gratificação, por meio de ato administrativo, pudesse ser examinada sob o aspecto da legalidade, o fato é que essa vantagem não possui natureza de função (pois paga indistintamente a todos os Oficiais de Justiça) e, portanto, não teria o condão de gerar a incorporação de quintos.</w:t>
      </w:r>
    </w:p>
    <w:p w14:paraId="0D585F9D" w14:textId="67410DFC" w:rsidR="0D1069A5" w:rsidRDefault="53F56213"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w:t>
      </w:r>
    </w:p>
    <w:p w14:paraId="1687AB4A" w14:textId="09412FAA" w:rsidR="0D1069A5" w:rsidRDefault="53F56213"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10. Ademais, não se deve olvidar que o art. 16 da Lei 11.416/2006, que instituiu a Gratificação de Atividade Externa (GAE), devida exclusivamente ao Oficial de Justiça Avaliador, vedou a percepção dessa gratificação para os servidores designados para o exercício de função comissionada e para os ocupantes de cargo em comissão: (...)</w:t>
      </w:r>
    </w:p>
    <w:p w14:paraId="4836C43C" w14:textId="30DFDEBD" w:rsidR="0D1069A5" w:rsidRDefault="53F56213"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w:t>
      </w:r>
    </w:p>
    <w:p w14:paraId="3684409C" w14:textId="0C8C35DF" w:rsidR="0D1069A5" w:rsidRDefault="53F56213"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21. Assim, tendo em vista que tanto a vantagem dos “quintos” como a GAE têm origem no desempenho das atividades de execução de mandados, há verdadeiro </w:t>
      </w:r>
      <w:r w:rsidRPr="16D0F8A3">
        <w:rPr>
          <w:rFonts w:ascii="Times New Roman" w:eastAsia="Times New Roman" w:hAnsi="Times New Roman"/>
          <w:b/>
          <w:bCs/>
          <w:color w:val="000000" w:themeColor="text1"/>
        </w:rPr>
        <w:t>bis in idem</w:t>
      </w:r>
      <w:r w:rsidRPr="16D0F8A3">
        <w:rPr>
          <w:rFonts w:ascii="Times New Roman" w:eastAsia="Times New Roman" w:hAnsi="Times New Roman"/>
          <w:color w:val="000000" w:themeColor="text1"/>
        </w:rPr>
        <w:t>, razão pela qual o ato número de controle</w:t>
      </w:r>
      <w:r w:rsidRPr="16D0F8A3">
        <w:rPr>
          <w:rFonts w:ascii="Times New Roman" w:eastAsia="Times New Roman" w:hAnsi="Times New Roman"/>
          <w:b/>
          <w:bCs/>
          <w:color w:val="000000" w:themeColor="text1"/>
        </w:rPr>
        <w:t> </w:t>
      </w:r>
      <w:r w:rsidRPr="16D0F8A3">
        <w:rPr>
          <w:rFonts w:ascii="Times New Roman" w:eastAsia="Times New Roman" w:hAnsi="Times New Roman"/>
          <w:color w:val="000000" w:themeColor="text1"/>
        </w:rPr>
        <w:t>20782110-04-2014-000035-3 deve ser considerado ilegal. (grifou-se)</w:t>
      </w:r>
    </w:p>
    <w:p w14:paraId="038FF77F" w14:textId="50ADC534"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7BE2EF33" w14:textId="279FE65D" w:rsidR="0D1069A5" w:rsidRDefault="53F56213" w:rsidP="16D0F8A3">
      <w:pPr>
        <w:spacing w:after="0" w:line="240" w:lineRule="auto"/>
        <w:ind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Contudo, tal entendimento não merece prosperar, notadamente porque o artigo 16, § 2º, da Lei 11.416/2006, não pode ser interpretado extensivamente para suprimir direitos, bem como porque a função de confiança que deu origem à VPNI de quintos incorporada pelos representados não possuía “caráter geral”, não sendo paga, portanto, indistintamente a todos os oficiais de justiça, e não se confundia com a destinação da Gratificação de Atividade Externa.</w:t>
      </w:r>
    </w:p>
    <w:p w14:paraId="37E784DA" w14:textId="76D1385F"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73EEEC8B" w14:textId="7C786954" w:rsidR="0D1069A5" w:rsidRDefault="53F56213" w:rsidP="5928C0D7">
      <w:pPr>
        <w:spacing w:after="0" w:line="240" w:lineRule="auto"/>
        <w:ind w:firstLine="1701"/>
        <w:jc w:val="both"/>
        <w:rPr>
          <w:rFonts w:ascii="Times New Roman" w:eastAsia="Times New Roman" w:hAnsi="Times New Roman"/>
          <w:color w:val="000000" w:themeColor="text1"/>
          <w:sz w:val="26"/>
          <w:szCs w:val="26"/>
        </w:rPr>
      </w:pPr>
      <w:r w:rsidRPr="5928C0D7">
        <w:rPr>
          <w:rFonts w:ascii="Times New Roman" w:eastAsia="Times New Roman" w:hAnsi="Times New Roman"/>
          <w:color w:val="000000" w:themeColor="text1"/>
          <w:sz w:val="26"/>
          <w:szCs w:val="26"/>
        </w:rPr>
        <w:t xml:space="preserve">Bem por isso que vários Tribunais Regionais, instados pelo TCU a adotarem providências no sentido de apurar as supostas cumulações irregulares, vêm se manifestando pelo equívoco no entendimento da Corte de Contas. É o que demonstram pareceres de unidades técnicas e decisões/acórdãos (de Presidência ou Pleno) em via administrativa dos </w:t>
      </w:r>
      <w:r w:rsidRPr="5928C0D7">
        <w:rPr>
          <w:rFonts w:ascii="Times New Roman" w:eastAsia="Times New Roman" w:hAnsi="Times New Roman"/>
          <w:b/>
          <w:bCs/>
          <w:color w:val="000000" w:themeColor="text1"/>
          <w:sz w:val="26"/>
          <w:szCs w:val="26"/>
        </w:rPr>
        <w:t>Tribunais Regionais Federais da 3ª e 4ª Região</w:t>
      </w:r>
      <w:r w:rsidRPr="5928C0D7">
        <w:rPr>
          <w:rFonts w:ascii="Times New Roman" w:eastAsia="Times New Roman" w:hAnsi="Times New Roman"/>
          <w:color w:val="000000" w:themeColor="text1"/>
          <w:sz w:val="26"/>
          <w:szCs w:val="26"/>
        </w:rPr>
        <w:t xml:space="preserve">, bem como dos </w:t>
      </w:r>
      <w:r w:rsidRPr="5928C0D7">
        <w:rPr>
          <w:rFonts w:ascii="Times New Roman" w:eastAsia="Times New Roman" w:hAnsi="Times New Roman"/>
          <w:b/>
          <w:bCs/>
          <w:color w:val="000000" w:themeColor="text1"/>
          <w:sz w:val="26"/>
          <w:szCs w:val="26"/>
        </w:rPr>
        <w:t>Tribunais Regionais do Trabalho da 4ª, 10ª, 11ª, 15ª, 17ª e 18ª Região</w:t>
      </w:r>
      <w:r w:rsidRPr="5928C0D7">
        <w:rPr>
          <w:rFonts w:ascii="Times New Roman" w:eastAsia="Times New Roman" w:hAnsi="Times New Roman"/>
          <w:color w:val="000000" w:themeColor="text1"/>
          <w:sz w:val="26"/>
          <w:szCs w:val="26"/>
        </w:rPr>
        <w:t>, conforme demonstrado no tópico de precedentes administrativos dest</w:t>
      </w:r>
      <w:r w:rsidR="36AF8B9C" w:rsidRPr="5928C0D7">
        <w:rPr>
          <w:rFonts w:ascii="Times New Roman" w:eastAsia="Times New Roman" w:hAnsi="Times New Roman"/>
          <w:color w:val="000000" w:themeColor="text1"/>
          <w:sz w:val="26"/>
          <w:szCs w:val="26"/>
        </w:rPr>
        <w:t>a</w:t>
      </w:r>
      <w:r w:rsidRPr="5928C0D7">
        <w:rPr>
          <w:rFonts w:ascii="Times New Roman" w:eastAsia="Times New Roman" w:hAnsi="Times New Roman"/>
          <w:color w:val="000000" w:themeColor="text1"/>
          <w:sz w:val="26"/>
          <w:szCs w:val="26"/>
        </w:rPr>
        <w:t xml:space="preserve"> m</w:t>
      </w:r>
      <w:r w:rsidR="555EE85F" w:rsidRPr="5928C0D7">
        <w:rPr>
          <w:rFonts w:ascii="Times New Roman" w:eastAsia="Times New Roman" w:hAnsi="Times New Roman"/>
          <w:color w:val="000000" w:themeColor="text1"/>
          <w:sz w:val="26"/>
          <w:szCs w:val="26"/>
        </w:rPr>
        <w:t>anifestação</w:t>
      </w:r>
      <w:r w:rsidRPr="5928C0D7">
        <w:rPr>
          <w:rFonts w:ascii="Times New Roman" w:eastAsia="Times New Roman" w:hAnsi="Times New Roman"/>
          <w:color w:val="000000" w:themeColor="text1"/>
          <w:sz w:val="26"/>
          <w:szCs w:val="26"/>
        </w:rPr>
        <w:t xml:space="preserve">. Além disso, em acórdãos judiciais mais atuais e específicos sobre o tema, também decidiram a favor dos servidores o </w:t>
      </w:r>
      <w:r w:rsidRPr="5928C0D7">
        <w:rPr>
          <w:rFonts w:ascii="Times New Roman" w:eastAsia="Times New Roman" w:hAnsi="Times New Roman"/>
          <w:b/>
          <w:bCs/>
          <w:color w:val="000000" w:themeColor="text1"/>
          <w:sz w:val="26"/>
          <w:szCs w:val="26"/>
        </w:rPr>
        <w:t>Supremo Tribunal Federal</w:t>
      </w:r>
      <w:r w:rsidRPr="5928C0D7">
        <w:rPr>
          <w:rFonts w:ascii="Times New Roman" w:eastAsia="Times New Roman" w:hAnsi="Times New Roman"/>
          <w:color w:val="000000" w:themeColor="text1"/>
          <w:sz w:val="26"/>
          <w:szCs w:val="26"/>
        </w:rPr>
        <w:t xml:space="preserve">, </w:t>
      </w:r>
      <w:r w:rsidRPr="5928C0D7">
        <w:rPr>
          <w:rFonts w:ascii="Times New Roman" w:eastAsia="Times New Roman" w:hAnsi="Times New Roman"/>
          <w:b/>
          <w:bCs/>
          <w:color w:val="000000" w:themeColor="text1"/>
          <w:sz w:val="26"/>
          <w:szCs w:val="26"/>
        </w:rPr>
        <w:lastRenderedPageBreak/>
        <w:t>Tribunal Regional do Trabalho da 24ª Região</w:t>
      </w:r>
      <w:r w:rsidRPr="5928C0D7">
        <w:rPr>
          <w:rFonts w:ascii="Times New Roman" w:eastAsia="Times New Roman" w:hAnsi="Times New Roman"/>
          <w:color w:val="000000" w:themeColor="text1"/>
          <w:sz w:val="26"/>
          <w:szCs w:val="26"/>
        </w:rPr>
        <w:t xml:space="preserve"> e várias </w:t>
      </w:r>
      <w:r w:rsidRPr="5928C0D7">
        <w:rPr>
          <w:rFonts w:ascii="Times New Roman" w:eastAsia="Times New Roman" w:hAnsi="Times New Roman"/>
          <w:b/>
          <w:bCs/>
          <w:color w:val="000000" w:themeColor="text1"/>
          <w:sz w:val="26"/>
          <w:szCs w:val="26"/>
        </w:rPr>
        <w:t>Seções Judiciárias da Justiça Federal</w:t>
      </w:r>
      <w:r w:rsidRPr="5928C0D7">
        <w:rPr>
          <w:rFonts w:ascii="Times New Roman" w:eastAsia="Times New Roman" w:hAnsi="Times New Roman"/>
          <w:color w:val="000000" w:themeColor="text1"/>
          <w:sz w:val="26"/>
          <w:szCs w:val="26"/>
        </w:rPr>
        <w:t>, conforme citações no tópico sobre precedentes judiciais.</w:t>
      </w:r>
    </w:p>
    <w:p w14:paraId="3888A4F1" w14:textId="0190C4C2"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5931B3D3" w14:textId="242400F3" w:rsidR="0D1069A5" w:rsidRDefault="53F56213" w:rsidP="16D0F8A3">
      <w:pPr>
        <w:spacing w:after="0" w:line="240" w:lineRule="auto"/>
        <w:ind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Além de a cumulação ser legal, está protegida pela decadência administrativa e pelos princípios que garantem a segurança jurídica das situações já consolidadas.</w:t>
      </w:r>
    </w:p>
    <w:p w14:paraId="3CDA7A4C" w14:textId="0B6E7514"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7695A445" w14:textId="47DC8AE9" w:rsidR="0D1069A5" w:rsidRDefault="53F56213" w:rsidP="163427A8">
      <w:pPr>
        <w:spacing w:after="0" w:line="240" w:lineRule="auto"/>
        <w:ind w:firstLine="1701"/>
        <w:jc w:val="both"/>
        <w:rPr>
          <w:rFonts w:ascii="Times New Roman" w:eastAsia="Times New Roman" w:hAnsi="Times New Roman"/>
          <w:color w:val="000000" w:themeColor="text1"/>
          <w:sz w:val="26"/>
          <w:szCs w:val="26"/>
        </w:rPr>
      </w:pPr>
      <w:r w:rsidRPr="163427A8">
        <w:rPr>
          <w:rFonts w:ascii="Times New Roman" w:eastAsia="Times New Roman" w:hAnsi="Times New Roman"/>
          <w:color w:val="000000" w:themeColor="text1"/>
          <w:sz w:val="26"/>
          <w:szCs w:val="26"/>
        </w:rPr>
        <w:t>Ademais, mesmo que equivocadamente não se entenda pela legalidade, o procedimento de apuração do próprio Tribunal de Contas da União indica que nenhuma das parcelas deve ser suprimida de imediato, devendo se converter uma das rubricas em parcelas compensatórias, para que haja respeito ao princípio da irredutibilidade de vencimentos</w:t>
      </w:r>
      <w:r w:rsidR="25637010" w:rsidRPr="163427A8">
        <w:rPr>
          <w:rFonts w:ascii="Times New Roman" w:eastAsia="Times New Roman" w:hAnsi="Times New Roman"/>
          <w:color w:val="000000" w:themeColor="text1"/>
          <w:sz w:val="26"/>
          <w:szCs w:val="26"/>
        </w:rPr>
        <w:t xml:space="preserve">, </w:t>
      </w:r>
      <w:r w:rsidR="25637010" w:rsidRPr="163427A8">
        <w:rPr>
          <w:rFonts w:ascii="Times New Roman" w:eastAsia="Times New Roman" w:hAnsi="Times New Roman"/>
          <w:b/>
          <w:bCs/>
          <w:color w:val="000000" w:themeColor="text1"/>
          <w:sz w:val="26"/>
          <w:szCs w:val="26"/>
        </w:rPr>
        <w:t>sendo evidente que nenhuma compensação com reajustes pretéritos poderá ser admitida!</w:t>
      </w:r>
    </w:p>
    <w:p w14:paraId="71D6ABF7" w14:textId="33371932"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2010B238" w14:textId="09C7BA30" w:rsidR="3A9B58FE" w:rsidRDefault="06A9B91D" w:rsidP="163427A8">
      <w:pPr>
        <w:spacing w:after="0" w:line="240" w:lineRule="auto"/>
        <w:ind w:firstLine="1701"/>
        <w:jc w:val="both"/>
        <w:rPr>
          <w:rFonts w:ascii="Times New Roman" w:eastAsia="Times New Roman" w:hAnsi="Times New Roman"/>
          <w:color w:val="000000" w:themeColor="text1"/>
          <w:sz w:val="26"/>
          <w:szCs w:val="26"/>
        </w:rPr>
      </w:pPr>
      <w:r w:rsidRPr="163427A8">
        <w:rPr>
          <w:rFonts w:ascii="Times New Roman" w:eastAsia="Times New Roman" w:hAnsi="Times New Roman"/>
          <w:color w:val="000000" w:themeColor="text1"/>
          <w:sz w:val="26"/>
          <w:szCs w:val="26"/>
        </w:rPr>
        <w:t>Por derradeiro, cumpre mencionar que a situação espec</w:t>
      </w:r>
      <w:r w:rsidR="00899A8C" w:rsidRPr="163427A8">
        <w:rPr>
          <w:rFonts w:ascii="Times New Roman" w:eastAsia="Times New Roman" w:hAnsi="Times New Roman"/>
          <w:color w:val="000000" w:themeColor="text1"/>
          <w:sz w:val="26"/>
          <w:szCs w:val="26"/>
        </w:rPr>
        <w:t>ífica</w:t>
      </w:r>
      <w:r w:rsidRPr="163427A8">
        <w:rPr>
          <w:rFonts w:ascii="Times New Roman" w:eastAsia="Times New Roman" w:hAnsi="Times New Roman"/>
          <w:color w:val="000000" w:themeColor="text1"/>
          <w:sz w:val="26"/>
          <w:szCs w:val="26"/>
        </w:rPr>
        <w:t xml:space="preserve"> dos servidores d</w:t>
      </w:r>
      <w:r w:rsidR="6157ABAB" w:rsidRPr="163427A8">
        <w:rPr>
          <w:rFonts w:ascii="Times New Roman" w:eastAsia="Times New Roman" w:hAnsi="Times New Roman"/>
          <w:color w:val="000000" w:themeColor="text1"/>
          <w:sz w:val="26"/>
          <w:szCs w:val="26"/>
        </w:rPr>
        <w:t>a Seção Judiciária do Rio de Janeiro e do</w:t>
      </w:r>
      <w:r w:rsidRPr="163427A8">
        <w:rPr>
          <w:rFonts w:ascii="Times New Roman" w:eastAsia="Times New Roman" w:hAnsi="Times New Roman"/>
          <w:color w:val="000000" w:themeColor="text1"/>
          <w:sz w:val="26"/>
          <w:szCs w:val="26"/>
        </w:rPr>
        <w:t xml:space="preserve"> Tribunal Regional Federal da 2ª Região é excepcional em comparação aos demais Tribunais nacionais, visto que estes estão amparados p</w:t>
      </w:r>
      <w:r w:rsidR="6B6B09ED" w:rsidRPr="163427A8">
        <w:rPr>
          <w:rFonts w:ascii="Times New Roman" w:eastAsia="Times New Roman" w:hAnsi="Times New Roman"/>
          <w:color w:val="000000" w:themeColor="text1"/>
          <w:sz w:val="26"/>
          <w:szCs w:val="26"/>
        </w:rPr>
        <w:t xml:space="preserve">or </w:t>
      </w:r>
      <w:r w:rsidRPr="163427A8">
        <w:rPr>
          <w:rFonts w:ascii="Times New Roman" w:eastAsia="Times New Roman" w:hAnsi="Times New Roman"/>
          <w:color w:val="000000" w:themeColor="text1"/>
          <w:sz w:val="26"/>
          <w:szCs w:val="26"/>
        </w:rPr>
        <w:t>decisão</w:t>
      </w:r>
      <w:r w:rsidR="48F7CEB7" w:rsidRPr="163427A8">
        <w:rPr>
          <w:rFonts w:ascii="Times New Roman" w:eastAsia="Times New Roman" w:hAnsi="Times New Roman"/>
          <w:color w:val="000000" w:themeColor="text1"/>
          <w:sz w:val="26"/>
          <w:szCs w:val="26"/>
        </w:rPr>
        <w:t xml:space="preserve"> </w:t>
      </w:r>
      <w:r w:rsidR="41E4B55A" w:rsidRPr="163427A8">
        <w:rPr>
          <w:rFonts w:ascii="Times New Roman" w:eastAsia="Times New Roman" w:hAnsi="Times New Roman"/>
          <w:color w:val="000000" w:themeColor="text1"/>
          <w:sz w:val="26"/>
          <w:szCs w:val="26"/>
        </w:rPr>
        <w:t xml:space="preserve">favorável </w:t>
      </w:r>
      <w:r w:rsidR="48F7CEB7" w:rsidRPr="163427A8">
        <w:rPr>
          <w:rFonts w:ascii="Times New Roman" w:eastAsia="Times New Roman" w:hAnsi="Times New Roman"/>
          <w:color w:val="000000" w:themeColor="text1"/>
          <w:sz w:val="26"/>
          <w:szCs w:val="26"/>
        </w:rPr>
        <w:t>profer</w:t>
      </w:r>
      <w:r w:rsidR="48F7CEB7" w:rsidRPr="163427A8">
        <w:rPr>
          <w:rFonts w:ascii="Times New Roman" w:eastAsia="Times New Roman" w:hAnsi="Times New Roman"/>
          <w:sz w:val="26"/>
          <w:szCs w:val="26"/>
        </w:rPr>
        <w:t xml:space="preserve">ida nos autos do </w:t>
      </w:r>
      <w:r w:rsidR="3F9C4904" w:rsidRPr="163427A8">
        <w:rPr>
          <w:rFonts w:ascii="Times New Roman" w:eastAsia="Times New Roman" w:hAnsi="Times New Roman"/>
          <w:sz w:val="26"/>
          <w:szCs w:val="26"/>
        </w:rPr>
        <w:t>Mandado de Segurança Coletivo</w:t>
      </w:r>
      <w:r w:rsidR="03C01EB6" w:rsidRPr="163427A8">
        <w:rPr>
          <w:rFonts w:ascii="Times New Roman" w:eastAsia="Times New Roman" w:hAnsi="Times New Roman"/>
          <w:sz w:val="26"/>
          <w:szCs w:val="26"/>
        </w:rPr>
        <w:t xml:space="preserve"> n°</w:t>
      </w:r>
      <w:r w:rsidR="3F9C4904" w:rsidRPr="163427A8">
        <w:rPr>
          <w:rFonts w:ascii="Times New Roman" w:eastAsia="Times New Roman" w:hAnsi="Times New Roman"/>
          <w:sz w:val="26"/>
          <w:szCs w:val="26"/>
        </w:rPr>
        <w:t xml:space="preserve"> 0098714-30.2017.4.02.5101</w:t>
      </w:r>
      <w:r w:rsidR="7DE19E08" w:rsidRPr="163427A8">
        <w:rPr>
          <w:rFonts w:ascii="Times New Roman" w:eastAsia="Times New Roman" w:hAnsi="Times New Roman"/>
          <w:sz w:val="26"/>
          <w:szCs w:val="26"/>
        </w:rPr>
        <w:t xml:space="preserve">, </w:t>
      </w:r>
      <w:r w:rsidR="5BF4F631" w:rsidRPr="163427A8">
        <w:rPr>
          <w:rFonts w:ascii="Times New Roman" w:eastAsia="Times New Roman" w:hAnsi="Times New Roman"/>
          <w:sz w:val="26"/>
          <w:szCs w:val="26"/>
        </w:rPr>
        <w:t>prestes a transitar em julgado</w:t>
      </w:r>
      <w:r w:rsidR="07D53026" w:rsidRPr="163427A8">
        <w:rPr>
          <w:rFonts w:ascii="Times New Roman" w:eastAsia="Times New Roman" w:hAnsi="Times New Roman"/>
          <w:sz w:val="26"/>
          <w:szCs w:val="26"/>
        </w:rPr>
        <w:t xml:space="preserve">, que </w:t>
      </w:r>
      <w:r w:rsidR="7C47B87A" w:rsidRPr="163427A8">
        <w:rPr>
          <w:rFonts w:ascii="Times New Roman" w:eastAsia="Times New Roman" w:hAnsi="Times New Roman"/>
          <w:sz w:val="26"/>
          <w:szCs w:val="26"/>
        </w:rPr>
        <w:t xml:space="preserve">reconheceu a todos os substituídos pelo sindicato </w:t>
      </w:r>
      <w:r w:rsidR="1EA2C124" w:rsidRPr="163427A8">
        <w:rPr>
          <w:rFonts w:ascii="Times New Roman" w:eastAsia="Times New Roman" w:hAnsi="Times New Roman"/>
          <w:sz w:val="26"/>
          <w:szCs w:val="26"/>
        </w:rPr>
        <w:t xml:space="preserve">o </w:t>
      </w:r>
      <w:r w:rsidR="07D53026" w:rsidRPr="163427A8">
        <w:rPr>
          <w:rFonts w:ascii="Times New Roman" w:eastAsia="Times New Roman" w:hAnsi="Times New Roman"/>
          <w:sz w:val="26"/>
          <w:szCs w:val="26"/>
        </w:rPr>
        <w:t xml:space="preserve">direito de </w:t>
      </w:r>
      <w:r w:rsidR="27E66AA2" w:rsidRPr="163427A8">
        <w:rPr>
          <w:rFonts w:ascii="Times New Roman" w:eastAsia="Times New Roman" w:hAnsi="Times New Roman"/>
          <w:sz w:val="26"/>
          <w:szCs w:val="26"/>
        </w:rPr>
        <w:t>receber ambas as parcelas.</w:t>
      </w:r>
    </w:p>
    <w:p w14:paraId="4697E8C4" w14:textId="027AA96C" w:rsidR="163427A8" w:rsidRDefault="163427A8" w:rsidP="163427A8">
      <w:pPr>
        <w:spacing w:after="0" w:line="240" w:lineRule="auto"/>
        <w:ind w:firstLine="1701"/>
        <w:jc w:val="both"/>
        <w:rPr>
          <w:rFonts w:ascii="Times New Roman" w:eastAsia="Times New Roman" w:hAnsi="Times New Roman"/>
          <w:sz w:val="26"/>
          <w:szCs w:val="26"/>
        </w:rPr>
      </w:pPr>
    </w:p>
    <w:p w14:paraId="3B718FED" w14:textId="722B9C14" w:rsidR="63C1004F" w:rsidRDefault="63C1004F" w:rsidP="3A9B58FE">
      <w:pPr>
        <w:spacing w:after="0" w:line="240" w:lineRule="auto"/>
        <w:jc w:val="both"/>
        <w:rPr>
          <w:rFonts w:ascii="Times New Roman" w:eastAsia="Times New Roman" w:hAnsi="Times New Roman"/>
          <w:color w:val="000000" w:themeColor="text1"/>
          <w:sz w:val="26"/>
          <w:szCs w:val="26"/>
        </w:rPr>
      </w:pPr>
      <w:r w:rsidRPr="3A9B58FE">
        <w:rPr>
          <w:rFonts w:ascii="Times New Roman" w:eastAsia="Times New Roman" w:hAnsi="Times New Roman"/>
          <w:b/>
          <w:bCs/>
          <w:color w:val="000000" w:themeColor="text1"/>
          <w:sz w:val="26"/>
          <w:szCs w:val="26"/>
        </w:rPr>
        <w:t xml:space="preserve">2. </w:t>
      </w:r>
      <w:r w:rsidRPr="3A9B58FE">
        <w:rPr>
          <w:rFonts w:ascii="Times New Roman" w:eastAsia="Times New Roman" w:hAnsi="Times New Roman"/>
          <w:b/>
          <w:bCs/>
          <w:color w:val="000000" w:themeColor="text1"/>
          <w:sz w:val="26"/>
          <w:szCs w:val="26"/>
          <w:u w:val="single"/>
        </w:rPr>
        <w:t>FUNDAMENTOS JURÍDICOS</w:t>
      </w:r>
    </w:p>
    <w:p w14:paraId="7E5A8821" w14:textId="7534F15D" w:rsidR="3A9B58FE" w:rsidRDefault="3A9B58FE" w:rsidP="3A9B58FE">
      <w:pPr>
        <w:spacing w:after="0" w:line="240" w:lineRule="auto"/>
        <w:ind w:firstLine="1701"/>
        <w:jc w:val="both"/>
        <w:rPr>
          <w:rFonts w:ascii="Times New Roman" w:eastAsia="Times New Roman" w:hAnsi="Times New Roman"/>
          <w:color w:val="000000" w:themeColor="text1"/>
          <w:sz w:val="26"/>
          <w:szCs w:val="26"/>
        </w:rPr>
      </w:pPr>
    </w:p>
    <w:p w14:paraId="713299A3" w14:textId="1A04A36C" w:rsidR="0D1069A5" w:rsidRDefault="5AB4209A" w:rsidP="163427A8">
      <w:pPr>
        <w:spacing w:after="0" w:line="240" w:lineRule="auto"/>
        <w:jc w:val="both"/>
        <w:rPr>
          <w:rFonts w:ascii="Times New Roman" w:eastAsia="Times New Roman" w:hAnsi="Times New Roman"/>
          <w:b/>
          <w:bCs/>
          <w:sz w:val="26"/>
          <w:szCs w:val="26"/>
          <w:u w:val="single"/>
        </w:rPr>
      </w:pPr>
      <w:r w:rsidRPr="163427A8">
        <w:rPr>
          <w:rFonts w:ascii="Times New Roman" w:eastAsia="Times New Roman" w:hAnsi="Times New Roman"/>
          <w:b/>
          <w:bCs/>
          <w:color w:val="000000" w:themeColor="text1"/>
          <w:sz w:val="26"/>
          <w:szCs w:val="26"/>
        </w:rPr>
        <w:t>2.</w:t>
      </w:r>
      <w:r w:rsidR="088A8078" w:rsidRPr="163427A8">
        <w:rPr>
          <w:rFonts w:ascii="Times New Roman" w:eastAsia="Times New Roman" w:hAnsi="Times New Roman"/>
          <w:b/>
          <w:bCs/>
          <w:color w:val="000000" w:themeColor="text1"/>
          <w:sz w:val="26"/>
          <w:szCs w:val="26"/>
        </w:rPr>
        <w:t>1</w:t>
      </w:r>
      <w:r w:rsidRPr="163427A8">
        <w:rPr>
          <w:rFonts w:ascii="Times New Roman" w:eastAsia="Times New Roman" w:hAnsi="Times New Roman"/>
          <w:b/>
          <w:bCs/>
          <w:color w:val="000000" w:themeColor="text1"/>
          <w:sz w:val="26"/>
          <w:szCs w:val="26"/>
        </w:rPr>
        <w:t xml:space="preserve">. </w:t>
      </w:r>
      <w:r w:rsidRPr="163427A8">
        <w:rPr>
          <w:rFonts w:ascii="Times New Roman" w:eastAsia="Times New Roman" w:hAnsi="Times New Roman"/>
          <w:b/>
          <w:bCs/>
          <w:color w:val="000000" w:themeColor="text1"/>
          <w:sz w:val="26"/>
          <w:szCs w:val="26"/>
          <w:u w:val="single"/>
        </w:rPr>
        <w:t>Da decisão do Mandado de Segurança n°</w:t>
      </w:r>
      <w:r w:rsidRPr="163427A8">
        <w:rPr>
          <w:rFonts w:ascii="Times New Roman" w:eastAsia="Times New Roman" w:hAnsi="Times New Roman"/>
          <w:b/>
          <w:bCs/>
          <w:sz w:val="26"/>
          <w:szCs w:val="26"/>
          <w:u w:val="single"/>
        </w:rPr>
        <w:t xml:space="preserve"> 0098714-30.2017.4.02.5101</w:t>
      </w:r>
      <w:r w:rsidR="264547C0" w:rsidRPr="163427A8">
        <w:rPr>
          <w:rFonts w:ascii="Times New Roman" w:eastAsia="Times New Roman" w:hAnsi="Times New Roman"/>
          <w:b/>
          <w:bCs/>
          <w:sz w:val="26"/>
          <w:szCs w:val="26"/>
          <w:u w:val="single"/>
        </w:rPr>
        <w:t xml:space="preserve"> </w:t>
      </w:r>
      <w:r w:rsidR="00CF2D72">
        <w:rPr>
          <w:rFonts w:ascii="Times New Roman" w:eastAsia="Times New Roman" w:hAnsi="Times New Roman"/>
          <w:b/>
          <w:bCs/>
          <w:sz w:val="26"/>
          <w:szCs w:val="26"/>
          <w:u w:val="single"/>
        </w:rPr>
        <w:t xml:space="preserve">e no AI nº </w:t>
      </w:r>
      <w:r w:rsidR="00CF2D72" w:rsidRPr="00CF2D72">
        <w:rPr>
          <w:rFonts w:ascii="Times New Roman" w:eastAsia="Times New Roman" w:hAnsi="Times New Roman"/>
          <w:b/>
          <w:bCs/>
          <w:sz w:val="26"/>
          <w:szCs w:val="26"/>
          <w:u w:val="single"/>
        </w:rPr>
        <w:t>0003266-07.2017.4.02.0000</w:t>
      </w:r>
    </w:p>
    <w:p w14:paraId="74482290" w14:textId="4CC8887B"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441EB4BD" w14:textId="35EF5EC0" w:rsidR="4D11C9EB" w:rsidRDefault="4D11C9EB" w:rsidP="163427A8">
      <w:pPr>
        <w:spacing w:after="0" w:line="240" w:lineRule="auto"/>
        <w:ind w:firstLine="1701"/>
        <w:jc w:val="both"/>
        <w:rPr>
          <w:rFonts w:ascii="Times New Roman" w:eastAsia="Times New Roman" w:hAnsi="Times New Roman"/>
          <w:sz w:val="26"/>
          <w:szCs w:val="26"/>
        </w:rPr>
      </w:pPr>
      <w:r w:rsidRPr="163427A8">
        <w:rPr>
          <w:rFonts w:ascii="Times New Roman" w:eastAsia="Times New Roman" w:hAnsi="Times New Roman"/>
          <w:color w:val="000000" w:themeColor="text1"/>
          <w:sz w:val="26"/>
          <w:szCs w:val="26"/>
        </w:rPr>
        <w:t>Antes de dar início aos fundamentos que revelam a legalidade do pagamento cumulado das parcelas referentes à GAE e a</w:t>
      </w:r>
      <w:r w:rsidR="3F13CD8E" w:rsidRPr="163427A8">
        <w:rPr>
          <w:rFonts w:ascii="Times New Roman" w:eastAsia="Times New Roman" w:hAnsi="Times New Roman"/>
          <w:color w:val="000000" w:themeColor="text1"/>
          <w:sz w:val="26"/>
          <w:szCs w:val="26"/>
        </w:rPr>
        <w:t xml:space="preserve"> VPNI, t</w:t>
      </w:r>
      <w:r w:rsidR="5AB4209A" w:rsidRPr="163427A8">
        <w:rPr>
          <w:rFonts w:ascii="Times New Roman" w:eastAsia="Times New Roman" w:hAnsi="Times New Roman"/>
          <w:color w:val="000000" w:themeColor="text1"/>
          <w:sz w:val="26"/>
          <w:szCs w:val="26"/>
        </w:rPr>
        <w:t xml:space="preserve">ratando-se especificamente dos servidores vinculados </w:t>
      </w:r>
      <w:r w:rsidR="107B4D52" w:rsidRPr="163427A8">
        <w:rPr>
          <w:rFonts w:ascii="Times New Roman" w:eastAsia="Times New Roman" w:hAnsi="Times New Roman"/>
          <w:color w:val="000000" w:themeColor="text1"/>
          <w:sz w:val="26"/>
          <w:szCs w:val="26"/>
        </w:rPr>
        <w:t xml:space="preserve">à </w:t>
      </w:r>
      <w:r w:rsidR="5AB4209A" w:rsidRPr="163427A8">
        <w:rPr>
          <w:rFonts w:ascii="Times New Roman" w:eastAsia="Times New Roman" w:hAnsi="Times New Roman"/>
          <w:color w:val="000000" w:themeColor="text1"/>
          <w:sz w:val="26"/>
          <w:szCs w:val="26"/>
        </w:rPr>
        <w:t>Seção Judiciária</w:t>
      </w:r>
      <w:r w:rsidR="73253554" w:rsidRPr="163427A8">
        <w:rPr>
          <w:rFonts w:ascii="Times New Roman" w:eastAsia="Times New Roman" w:hAnsi="Times New Roman"/>
          <w:color w:val="000000" w:themeColor="text1"/>
          <w:sz w:val="26"/>
          <w:szCs w:val="26"/>
        </w:rPr>
        <w:t xml:space="preserve"> do Rio de Janeiro e ao </w:t>
      </w:r>
      <w:r w:rsidR="5AB4209A" w:rsidRPr="163427A8">
        <w:rPr>
          <w:rFonts w:ascii="Times New Roman" w:eastAsia="Times New Roman" w:hAnsi="Times New Roman"/>
          <w:color w:val="000000" w:themeColor="text1"/>
          <w:sz w:val="26"/>
          <w:szCs w:val="26"/>
        </w:rPr>
        <w:t>T</w:t>
      </w:r>
      <w:r w:rsidR="5FA1EABC" w:rsidRPr="163427A8">
        <w:rPr>
          <w:rFonts w:ascii="Times New Roman" w:eastAsia="Times New Roman" w:hAnsi="Times New Roman"/>
          <w:color w:val="000000" w:themeColor="text1"/>
          <w:sz w:val="26"/>
          <w:szCs w:val="26"/>
        </w:rPr>
        <w:t>RF da 2ª Região</w:t>
      </w:r>
      <w:r w:rsidR="5AB4209A" w:rsidRPr="163427A8">
        <w:rPr>
          <w:rFonts w:ascii="Times New Roman" w:eastAsia="Times New Roman" w:hAnsi="Times New Roman"/>
          <w:color w:val="000000" w:themeColor="text1"/>
          <w:sz w:val="26"/>
          <w:szCs w:val="26"/>
        </w:rPr>
        <w:t xml:space="preserve">, deve ser </w:t>
      </w:r>
      <w:r w:rsidR="5FFDDBF2" w:rsidRPr="163427A8">
        <w:rPr>
          <w:rFonts w:ascii="Times New Roman" w:eastAsia="Times New Roman" w:hAnsi="Times New Roman"/>
          <w:color w:val="000000" w:themeColor="text1"/>
          <w:sz w:val="26"/>
          <w:szCs w:val="26"/>
        </w:rPr>
        <w:t xml:space="preserve">salientado que qualquer decisão administrativa que retire do arguente a GAE ou a VPNI, com </w:t>
      </w:r>
      <w:r w:rsidR="3641BBA4" w:rsidRPr="163427A8">
        <w:rPr>
          <w:rFonts w:ascii="Times New Roman" w:eastAsia="Times New Roman" w:hAnsi="Times New Roman"/>
          <w:color w:val="000000" w:themeColor="text1"/>
          <w:sz w:val="26"/>
          <w:szCs w:val="26"/>
        </w:rPr>
        <w:t xml:space="preserve">base nos </w:t>
      </w:r>
      <w:r w:rsidR="5FFDDBF2" w:rsidRPr="163427A8">
        <w:rPr>
          <w:rFonts w:ascii="Times New Roman" w:eastAsia="Times New Roman" w:hAnsi="Times New Roman"/>
          <w:color w:val="000000" w:themeColor="text1"/>
          <w:sz w:val="26"/>
          <w:szCs w:val="26"/>
        </w:rPr>
        <w:t>fundamento</w:t>
      </w:r>
      <w:r w:rsidR="0624905E" w:rsidRPr="163427A8">
        <w:rPr>
          <w:rFonts w:ascii="Times New Roman" w:eastAsia="Times New Roman" w:hAnsi="Times New Roman"/>
          <w:color w:val="000000" w:themeColor="text1"/>
          <w:sz w:val="26"/>
          <w:szCs w:val="26"/>
        </w:rPr>
        <w:t>s apontados pelo TCU no</w:t>
      </w:r>
      <w:r w:rsidR="5FFDDBF2" w:rsidRPr="163427A8">
        <w:rPr>
          <w:rFonts w:ascii="Times New Roman" w:eastAsia="Times New Roman" w:hAnsi="Times New Roman"/>
          <w:color w:val="000000" w:themeColor="text1"/>
          <w:sz w:val="26"/>
          <w:szCs w:val="26"/>
        </w:rPr>
        <w:t xml:space="preserve"> </w:t>
      </w:r>
      <w:r w:rsidR="79965450" w:rsidRPr="163427A8">
        <w:rPr>
          <w:rFonts w:ascii="Times New Roman" w:eastAsia="Times New Roman" w:hAnsi="Times New Roman"/>
          <w:sz w:val="26"/>
          <w:szCs w:val="26"/>
        </w:rPr>
        <w:t>Acórdão 2.784/2016</w:t>
      </w:r>
      <w:r w:rsidR="443CDD1C" w:rsidRPr="163427A8">
        <w:rPr>
          <w:rFonts w:ascii="Times New Roman" w:eastAsia="Times New Roman" w:hAnsi="Times New Roman"/>
          <w:sz w:val="26"/>
          <w:szCs w:val="26"/>
        </w:rPr>
        <w:t xml:space="preserve">, implica em descumprimento da decisão judicial proferida no </w:t>
      </w:r>
      <w:r w:rsidR="443CDD1C" w:rsidRPr="163427A8">
        <w:rPr>
          <w:rFonts w:ascii="Times New Roman" w:eastAsia="Times New Roman" w:hAnsi="Times New Roman"/>
          <w:color w:val="000000" w:themeColor="text1"/>
          <w:sz w:val="26"/>
          <w:szCs w:val="26"/>
        </w:rPr>
        <w:t>Mandado de Segurança n°</w:t>
      </w:r>
      <w:r w:rsidR="443CDD1C" w:rsidRPr="163427A8">
        <w:rPr>
          <w:rFonts w:ascii="Times New Roman" w:eastAsia="Times New Roman" w:hAnsi="Times New Roman"/>
          <w:sz w:val="26"/>
          <w:szCs w:val="26"/>
        </w:rPr>
        <w:t xml:space="preserve"> 0098714-30.2017.4.02.5101</w:t>
      </w:r>
      <w:r w:rsidR="35E75B29" w:rsidRPr="163427A8">
        <w:rPr>
          <w:rFonts w:ascii="Times New Roman" w:eastAsia="Times New Roman" w:hAnsi="Times New Roman"/>
          <w:sz w:val="26"/>
          <w:szCs w:val="26"/>
        </w:rPr>
        <w:t>.</w:t>
      </w:r>
    </w:p>
    <w:p w14:paraId="6261F342" w14:textId="64D44982" w:rsidR="163427A8" w:rsidRDefault="163427A8" w:rsidP="163427A8">
      <w:pPr>
        <w:spacing w:after="0" w:line="240" w:lineRule="auto"/>
        <w:ind w:firstLine="1701"/>
        <w:jc w:val="both"/>
        <w:rPr>
          <w:rFonts w:ascii="Times New Roman" w:eastAsia="Times New Roman" w:hAnsi="Times New Roman"/>
          <w:sz w:val="26"/>
          <w:szCs w:val="26"/>
        </w:rPr>
      </w:pPr>
    </w:p>
    <w:p w14:paraId="2C924FF1" w14:textId="071FC158" w:rsidR="35E75B29" w:rsidRDefault="35E75B29" w:rsidP="163427A8">
      <w:pPr>
        <w:spacing w:after="0" w:line="240" w:lineRule="auto"/>
        <w:ind w:firstLine="1701"/>
        <w:jc w:val="both"/>
        <w:rPr>
          <w:rFonts w:ascii="Times New Roman" w:eastAsia="Times New Roman" w:hAnsi="Times New Roman"/>
          <w:sz w:val="26"/>
          <w:szCs w:val="26"/>
        </w:rPr>
      </w:pPr>
      <w:r w:rsidRPr="163427A8">
        <w:rPr>
          <w:rFonts w:ascii="Times New Roman" w:eastAsia="Times New Roman" w:hAnsi="Times New Roman"/>
          <w:sz w:val="26"/>
          <w:szCs w:val="26"/>
        </w:rPr>
        <w:t xml:space="preserve">Com efeito, </w:t>
      </w:r>
      <w:r w:rsidR="684A4E70" w:rsidRPr="163427A8">
        <w:rPr>
          <w:rFonts w:ascii="Times New Roman" w:eastAsia="Times New Roman" w:hAnsi="Times New Roman"/>
          <w:sz w:val="26"/>
          <w:szCs w:val="26"/>
        </w:rPr>
        <w:t xml:space="preserve">em 2017, após ter notícia do Acórdão </w:t>
      </w:r>
      <w:r w:rsidR="489B1CBF" w:rsidRPr="163427A8">
        <w:rPr>
          <w:rFonts w:ascii="Times New Roman" w:eastAsia="Times New Roman" w:hAnsi="Times New Roman"/>
          <w:sz w:val="26"/>
          <w:szCs w:val="26"/>
        </w:rPr>
        <w:t xml:space="preserve">2784/2016, do TCU, </w:t>
      </w:r>
      <w:r w:rsidR="007E03C5">
        <w:rPr>
          <w:rFonts w:ascii="Times New Roman" w:eastAsia="Times New Roman" w:hAnsi="Times New Roman"/>
          <w:sz w:val="26"/>
          <w:szCs w:val="26"/>
        </w:rPr>
        <w:t>a</w:t>
      </w:r>
      <w:r w:rsidR="489B1CBF" w:rsidRPr="163427A8">
        <w:rPr>
          <w:rFonts w:ascii="Times New Roman" w:eastAsia="Times New Roman" w:hAnsi="Times New Roman"/>
          <w:sz w:val="26"/>
          <w:szCs w:val="26"/>
        </w:rPr>
        <w:t xml:space="preserve"> </w:t>
      </w:r>
      <w:r w:rsidR="007E03C5">
        <w:rPr>
          <w:rFonts w:ascii="Times New Roman" w:eastAsia="Times New Roman" w:hAnsi="Times New Roman"/>
          <w:sz w:val="26"/>
          <w:szCs w:val="26"/>
        </w:rPr>
        <w:t>SGP</w:t>
      </w:r>
      <w:r w:rsidR="489B1CBF" w:rsidRPr="163427A8">
        <w:rPr>
          <w:rFonts w:ascii="Times New Roman" w:eastAsia="Times New Roman" w:hAnsi="Times New Roman"/>
          <w:sz w:val="26"/>
          <w:szCs w:val="26"/>
        </w:rPr>
        <w:t xml:space="preserve"> passou a notificar os Oficiais de Justiça que possuíam VPNI oriunda de quintos incorporados </w:t>
      </w:r>
      <w:r w:rsidR="7E1C0591" w:rsidRPr="163427A8">
        <w:rPr>
          <w:rFonts w:ascii="Times New Roman" w:eastAsia="Times New Roman" w:hAnsi="Times New Roman"/>
          <w:sz w:val="26"/>
          <w:szCs w:val="26"/>
        </w:rPr>
        <w:t>e percebiam a GAE</w:t>
      </w:r>
      <w:r w:rsidR="4BD3BBBB" w:rsidRPr="163427A8">
        <w:rPr>
          <w:rFonts w:ascii="Times New Roman" w:eastAsia="Times New Roman" w:hAnsi="Times New Roman"/>
          <w:sz w:val="26"/>
          <w:szCs w:val="26"/>
        </w:rPr>
        <w:t>,</w:t>
      </w:r>
      <w:r w:rsidR="7E1C0591" w:rsidRPr="163427A8">
        <w:rPr>
          <w:rFonts w:ascii="Times New Roman" w:eastAsia="Times New Roman" w:hAnsi="Times New Roman"/>
          <w:sz w:val="26"/>
          <w:szCs w:val="26"/>
        </w:rPr>
        <w:t xml:space="preserve"> a fazerem opção entre uma parcela e outra.</w:t>
      </w:r>
    </w:p>
    <w:p w14:paraId="70A5949B" w14:textId="42A4952B" w:rsidR="163427A8" w:rsidRDefault="163427A8" w:rsidP="163427A8">
      <w:pPr>
        <w:spacing w:after="0" w:line="240" w:lineRule="auto"/>
        <w:ind w:firstLine="1701"/>
        <w:jc w:val="both"/>
        <w:rPr>
          <w:rFonts w:ascii="Times New Roman" w:eastAsia="Times New Roman" w:hAnsi="Times New Roman"/>
          <w:sz w:val="26"/>
          <w:szCs w:val="26"/>
        </w:rPr>
      </w:pPr>
    </w:p>
    <w:p w14:paraId="1796FD08" w14:textId="3F09FF85" w:rsidR="2F9EEE56" w:rsidRDefault="2F9EEE56" w:rsidP="163427A8">
      <w:pPr>
        <w:spacing w:after="0" w:line="240" w:lineRule="auto"/>
        <w:ind w:firstLine="1701"/>
        <w:jc w:val="both"/>
        <w:rPr>
          <w:rFonts w:ascii="Times New Roman" w:eastAsia="Times New Roman" w:hAnsi="Times New Roman"/>
          <w:sz w:val="26"/>
          <w:szCs w:val="26"/>
        </w:rPr>
      </w:pPr>
      <w:r w:rsidRPr="163427A8">
        <w:rPr>
          <w:rFonts w:ascii="Times New Roman" w:eastAsia="Times New Roman" w:hAnsi="Times New Roman"/>
          <w:sz w:val="26"/>
          <w:szCs w:val="26"/>
        </w:rPr>
        <w:t xml:space="preserve">Importante ressaltar que, embora naquele momento o TRF2 estivesse instando à opção apenas os Oficiais de Justiça que estavam com processos de </w:t>
      </w:r>
      <w:r w:rsidRPr="163427A8">
        <w:rPr>
          <w:rFonts w:ascii="Times New Roman" w:eastAsia="Times New Roman" w:hAnsi="Times New Roman"/>
          <w:sz w:val="26"/>
          <w:szCs w:val="26"/>
        </w:rPr>
        <w:lastRenderedPageBreak/>
        <w:t>aposentadoria em andamento, no Mandado de Segurança coletivo o Sisejufe a</w:t>
      </w:r>
      <w:r w:rsidR="448F9403" w:rsidRPr="163427A8">
        <w:rPr>
          <w:rFonts w:ascii="Times New Roman" w:eastAsia="Times New Roman" w:hAnsi="Times New Roman"/>
          <w:sz w:val="26"/>
          <w:szCs w:val="26"/>
        </w:rPr>
        <w:t>tuou em substituição processual de todos os Oficiais de Justiça filiados ao sindicato que possuíssem GAE/V</w:t>
      </w:r>
      <w:r w:rsidR="465B0E9F" w:rsidRPr="163427A8">
        <w:rPr>
          <w:rFonts w:ascii="Times New Roman" w:eastAsia="Times New Roman" w:hAnsi="Times New Roman"/>
          <w:sz w:val="26"/>
          <w:szCs w:val="26"/>
        </w:rPr>
        <w:t>PNI, independentemente da época de filiação, conforme legitimação extraordinária que lhe é conferida pel</w:t>
      </w:r>
      <w:r w:rsidR="0057599D">
        <w:rPr>
          <w:rFonts w:ascii="Times New Roman" w:eastAsia="Times New Roman" w:hAnsi="Times New Roman"/>
          <w:sz w:val="26"/>
          <w:szCs w:val="26"/>
        </w:rPr>
        <w:t>o</w:t>
      </w:r>
      <w:r w:rsidR="00237189">
        <w:rPr>
          <w:rFonts w:ascii="Times New Roman" w:eastAsia="Times New Roman" w:hAnsi="Times New Roman"/>
          <w:sz w:val="26"/>
          <w:szCs w:val="26"/>
        </w:rPr>
        <w:t>s</w:t>
      </w:r>
      <w:r w:rsidR="0057599D">
        <w:rPr>
          <w:rFonts w:ascii="Times New Roman" w:eastAsia="Times New Roman" w:hAnsi="Times New Roman"/>
          <w:sz w:val="26"/>
          <w:szCs w:val="26"/>
        </w:rPr>
        <w:t xml:space="preserve"> art</w:t>
      </w:r>
      <w:r w:rsidR="00237189">
        <w:rPr>
          <w:rFonts w:ascii="Times New Roman" w:eastAsia="Times New Roman" w:hAnsi="Times New Roman"/>
          <w:sz w:val="26"/>
          <w:szCs w:val="26"/>
        </w:rPr>
        <w:t>igos</w:t>
      </w:r>
      <w:r w:rsidR="00CB21A2">
        <w:rPr>
          <w:rFonts w:ascii="Times New Roman" w:eastAsia="Times New Roman" w:hAnsi="Times New Roman"/>
          <w:sz w:val="26"/>
          <w:szCs w:val="26"/>
        </w:rPr>
        <w:t xml:space="preserve"> 8º, III, </w:t>
      </w:r>
      <w:r w:rsidR="00237189">
        <w:rPr>
          <w:rFonts w:ascii="Times New Roman" w:eastAsia="Times New Roman" w:hAnsi="Times New Roman"/>
          <w:sz w:val="26"/>
          <w:szCs w:val="26"/>
        </w:rPr>
        <w:t xml:space="preserve">e </w:t>
      </w:r>
      <w:r w:rsidR="0057599D">
        <w:rPr>
          <w:rFonts w:ascii="Times New Roman" w:eastAsia="Times New Roman" w:hAnsi="Times New Roman"/>
          <w:sz w:val="26"/>
          <w:szCs w:val="26"/>
        </w:rPr>
        <w:t>5º</w:t>
      </w:r>
      <w:r w:rsidR="00D15048">
        <w:rPr>
          <w:rFonts w:ascii="Times New Roman" w:eastAsia="Times New Roman" w:hAnsi="Times New Roman"/>
          <w:sz w:val="26"/>
          <w:szCs w:val="26"/>
        </w:rPr>
        <w:t>, LXX, da</w:t>
      </w:r>
      <w:r w:rsidR="465B0E9F" w:rsidRPr="163427A8">
        <w:rPr>
          <w:rFonts w:ascii="Times New Roman" w:eastAsia="Times New Roman" w:hAnsi="Times New Roman"/>
          <w:sz w:val="26"/>
          <w:szCs w:val="26"/>
        </w:rPr>
        <w:t xml:space="preserve"> Constituição Federal e confirmada pelo Supremo Tribunal Federal</w:t>
      </w:r>
      <w:r w:rsidR="00A734AD">
        <w:rPr>
          <w:rFonts w:ascii="Times New Roman" w:eastAsia="Times New Roman" w:hAnsi="Times New Roman"/>
          <w:sz w:val="26"/>
          <w:szCs w:val="26"/>
        </w:rPr>
        <w:t>:</w:t>
      </w:r>
    </w:p>
    <w:p w14:paraId="344FB4D2" w14:textId="70D8A6EA" w:rsidR="00A734AD" w:rsidRDefault="00A734AD" w:rsidP="163427A8">
      <w:pPr>
        <w:spacing w:after="0" w:line="240" w:lineRule="auto"/>
        <w:ind w:firstLine="1701"/>
        <w:jc w:val="both"/>
        <w:rPr>
          <w:rFonts w:ascii="Times New Roman" w:eastAsia="Times New Roman" w:hAnsi="Times New Roman"/>
          <w:sz w:val="26"/>
          <w:szCs w:val="26"/>
        </w:rPr>
      </w:pPr>
    </w:p>
    <w:p w14:paraId="3B2B66E5" w14:textId="253AE5A7" w:rsidR="11FCF7E5" w:rsidRPr="00B22722" w:rsidRDefault="0057599D" w:rsidP="0057599D">
      <w:pPr>
        <w:spacing w:after="0" w:line="240" w:lineRule="auto"/>
        <w:ind w:left="1701"/>
        <w:jc w:val="both"/>
      </w:pPr>
      <w:r w:rsidRPr="00B22722">
        <w:rPr>
          <w:rFonts w:ascii="Times New Roman" w:eastAsia="Times New Roman" w:hAnsi="Times New Roman"/>
        </w:rPr>
        <w:t xml:space="preserve">Art. 5º (...) </w:t>
      </w:r>
      <w:r w:rsidR="11FCF7E5" w:rsidRPr="00B22722">
        <w:rPr>
          <w:rFonts w:ascii="Times New Roman" w:eastAsia="Times New Roman" w:hAnsi="Times New Roman"/>
        </w:rPr>
        <w:t>LXX - o mandado de segurança coletivo pode ser impetrado por:</w:t>
      </w:r>
      <w:r w:rsidRPr="00B22722">
        <w:rPr>
          <w:rFonts w:ascii="Times New Roman" w:eastAsia="Times New Roman" w:hAnsi="Times New Roman"/>
        </w:rPr>
        <w:t xml:space="preserve"> (...)</w:t>
      </w:r>
    </w:p>
    <w:p w14:paraId="19B34AC9" w14:textId="6B0C6F18" w:rsidR="11FCF7E5" w:rsidRPr="00B22722" w:rsidRDefault="11FCF7E5" w:rsidP="0057599D">
      <w:pPr>
        <w:spacing w:after="0" w:line="240" w:lineRule="auto"/>
        <w:ind w:left="1701"/>
        <w:jc w:val="both"/>
      </w:pPr>
      <w:r w:rsidRPr="00B22722">
        <w:rPr>
          <w:rFonts w:ascii="Times New Roman" w:eastAsia="Times New Roman" w:hAnsi="Times New Roman"/>
        </w:rPr>
        <w:t>b) organização sindical, entidade de classe ou associação legalmente constituída e em funcionamento há pelo menos um ano, em defesa dos interesses de seus membros ou associados;</w:t>
      </w:r>
    </w:p>
    <w:p w14:paraId="427A673B" w14:textId="159408E9" w:rsidR="163427A8" w:rsidRPr="00B22722" w:rsidRDefault="163427A8" w:rsidP="163427A8">
      <w:pPr>
        <w:spacing w:after="0" w:line="240" w:lineRule="auto"/>
        <w:ind w:firstLine="1701"/>
        <w:jc w:val="both"/>
        <w:rPr>
          <w:rFonts w:ascii="Times New Roman" w:eastAsia="Times New Roman" w:hAnsi="Times New Roman"/>
        </w:rPr>
      </w:pPr>
    </w:p>
    <w:p w14:paraId="46B350C7" w14:textId="0A385E80" w:rsidR="00AB5CDA" w:rsidRDefault="00B22722" w:rsidP="163427A8">
      <w:pPr>
        <w:spacing w:after="0" w:line="240" w:lineRule="auto"/>
        <w:ind w:firstLine="1701"/>
        <w:jc w:val="both"/>
        <w:rPr>
          <w:rFonts w:ascii="Times New Roman" w:eastAsia="Times New Roman" w:hAnsi="Times New Roman"/>
          <w:sz w:val="26"/>
          <w:szCs w:val="26"/>
        </w:rPr>
      </w:pPr>
      <w:r>
        <w:rPr>
          <w:rFonts w:ascii="Times New Roman" w:eastAsia="Times New Roman" w:hAnsi="Times New Roman"/>
          <w:sz w:val="26"/>
          <w:szCs w:val="26"/>
        </w:rPr>
        <w:t xml:space="preserve">As teses </w:t>
      </w:r>
      <w:r w:rsidR="003056BE">
        <w:rPr>
          <w:rFonts w:ascii="Times New Roman" w:eastAsia="Times New Roman" w:hAnsi="Times New Roman"/>
          <w:sz w:val="26"/>
          <w:szCs w:val="26"/>
        </w:rPr>
        <w:t xml:space="preserve">suscitadas pelo Acórdão 2784/2016, do TCU, foram todas enfrentadas no MS coletivo, sendo formulado, na petição inicial, </w:t>
      </w:r>
      <w:r w:rsidR="00FB18B5">
        <w:rPr>
          <w:rFonts w:ascii="Times New Roman" w:eastAsia="Times New Roman" w:hAnsi="Times New Roman"/>
          <w:sz w:val="26"/>
          <w:szCs w:val="26"/>
        </w:rPr>
        <w:t>os seguintes pedidos, que claramente abrangem todos os filiados que percebem a GAE/VPNI:</w:t>
      </w:r>
    </w:p>
    <w:p w14:paraId="653EC726" w14:textId="77777777" w:rsidR="00AB5CDA" w:rsidRDefault="00AB5CDA" w:rsidP="163427A8">
      <w:pPr>
        <w:spacing w:after="0" w:line="240" w:lineRule="auto"/>
        <w:ind w:firstLine="1701"/>
        <w:jc w:val="both"/>
        <w:rPr>
          <w:rFonts w:ascii="Times New Roman" w:eastAsia="Times New Roman" w:hAnsi="Times New Roman"/>
          <w:sz w:val="26"/>
          <w:szCs w:val="26"/>
        </w:rPr>
      </w:pPr>
    </w:p>
    <w:p w14:paraId="6B269900" w14:textId="090F58DB" w:rsidR="00EE6E16" w:rsidRDefault="00AB5CDA" w:rsidP="00AB5CDA">
      <w:pPr>
        <w:spacing w:after="0" w:line="240" w:lineRule="auto"/>
        <w:ind w:left="1701"/>
        <w:jc w:val="both"/>
        <w:rPr>
          <w:rFonts w:ascii="Times New Roman" w:eastAsia="Times New Roman" w:hAnsi="Times New Roman"/>
        </w:rPr>
      </w:pPr>
      <w:r>
        <w:rPr>
          <w:rFonts w:ascii="Times New Roman" w:eastAsia="Times New Roman" w:hAnsi="Times New Roman"/>
          <w:sz w:val="26"/>
          <w:szCs w:val="26"/>
        </w:rPr>
        <w:t>(e.1)</w:t>
      </w:r>
      <w:r w:rsidR="00C01E42">
        <w:rPr>
          <w:rFonts w:ascii="Times New Roman" w:eastAsia="Times New Roman" w:hAnsi="Times New Roman"/>
          <w:sz w:val="26"/>
          <w:szCs w:val="26"/>
        </w:rPr>
        <w:t xml:space="preserve"> </w:t>
      </w:r>
      <w:r w:rsidR="00C01E42" w:rsidRPr="00AB5CDA">
        <w:rPr>
          <w:rFonts w:ascii="Times New Roman" w:eastAsia="Times New Roman" w:hAnsi="Times New Roman"/>
        </w:rPr>
        <w:t>declarar o direito dos substituídos à manutenção da VPNI oriunda dos quintos incorporados</w:t>
      </w:r>
      <w:r w:rsidR="00592C06" w:rsidRPr="00AB5CDA">
        <w:rPr>
          <w:rFonts w:ascii="Times New Roman" w:eastAsia="Times New Roman" w:hAnsi="Times New Roman"/>
        </w:rPr>
        <w:t xml:space="preserve"> e à percepção cumulativa dessa vantagem com a Gratificação de Atividade Externa (GAE), inclusive nos proventos que tenham por base de cálculo a totalidade da remuneração</w:t>
      </w:r>
      <w:r w:rsidR="00FB18B5">
        <w:rPr>
          <w:rFonts w:ascii="Times New Roman" w:eastAsia="Times New Roman" w:hAnsi="Times New Roman"/>
        </w:rPr>
        <w:t>;</w:t>
      </w:r>
    </w:p>
    <w:p w14:paraId="0AAD721F" w14:textId="3AFFBA92" w:rsidR="00F51AAB" w:rsidRDefault="00F51AAB" w:rsidP="00AB5CDA">
      <w:pPr>
        <w:spacing w:after="0" w:line="240" w:lineRule="auto"/>
        <w:ind w:left="1701"/>
        <w:jc w:val="both"/>
        <w:rPr>
          <w:rFonts w:ascii="Times New Roman" w:eastAsia="Times New Roman" w:hAnsi="Times New Roman"/>
        </w:rPr>
      </w:pPr>
    </w:p>
    <w:p w14:paraId="30CD5016" w14:textId="77777777" w:rsidR="00F51AAB" w:rsidRPr="00F51AAB" w:rsidRDefault="00F51AAB" w:rsidP="00AB5CDA">
      <w:pPr>
        <w:spacing w:after="0" w:line="240" w:lineRule="auto"/>
        <w:ind w:left="1701"/>
        <w:jc w:val="both"/>
        <w:rPr>
          <w:rFonts w:ascii="Times New Roman" w:hAnsi="Times New Roman"/>
        </w:rPr>
      </w:pPr>
      <w:r w:rsidRPr="00F51AAB">
        <w:rPr>
          <w:rFonts w:ascii="Times New Roman" w:hAnsi="Times New Roman"/>
        </w:rPr>
        <w:t xml:space="preserve">(e.2) ante o direito reconhecido no pedido “e.1”, ordenar às autoridades coatoras que procedam à manutenção ou à restauração do pagamento da VPNI ou da GAE, à </w:t>
      </w:r>
      <w:r w:rsidRPr="00FB18B5">
        <w:rPr>
          <w:rFonts w:ascii="Times New Roman" w:hAnsi="Times New Roman"/>
          <w:b/>
          <w:bCs/>
          <w:u w:val="single"/>
        </w:rPr>
        <w:t>remuneração ou provento dos substituídos</w:t>
      </w:r>
      <w:r w:rsidRPr="00F51AAB">
        <w:rPr>
          <w:rFonts w:ascii="Times New Roman" w:hAnsi="Times New Roman"/>
        </w:rPr>
        <w:t xml:space="preserve">, devolvendo-se o que tiver sido eventualmente suprimido, tudo acrescido de juros e correção, na forma da lei; </w:t>
      </w:r>
    </w:p>
    <w:p w14:paraId="692B30CD" w14:textId="77777777" w:rsidR="00F51AAB" w:rsidRPr="00F51AAB" w:rsidRDefault="00F51AAB" w:rsidP="00AB5CDA">
      <w:pPr>
        <w:spacing w:after="0" w:line="240" w:lineRule="auto"/>
        <w:ind w:left="1701"/>
        <w:jc w:val="both"/>
        <w:rPr>
          <w:rFonts w:ascii="Times New Roman" w:hAnsi="Times New Roman"/>
        </w:rPr>
      </w:pPr>
    </w:p>
    <w:p w14:paraId="7FA54C6D" w14:textId="4F862AF7" w:rsidR="00F51AAB" w:rsidRPr="00F51AAB" w:rsidRDefault="00F51AAB" w:rsidP="00AB5CDA">
      <w:pPr>
        <w:spacing w:after="0" w:line="240" w:lineRule="auto"/>
        <w:ind w:left="1701"/>
        <w:jc w:val="both"/>
        <w:rPr>
          <w:rFonts w:ascii="Times New Roman" w:eastAsia="Times New Roman" w:hAnsi="Times New Roman"/>
        </w:rPr>
      </w:pPr>
      <w:r w:rsidRPr="00F51AAB">
        <w:rPr>
          <w:rFonts w:ascii="Times New Roman" w:hAnsi="Times New Roman"/>
        </w:rPr>
        <w:t xml:space="preserve">(e.4) ordenar às autoridades coatoras que </w:t>
      </w:r>
      <w:r w:rsidRPr="00FB18B5">
        <w:rPr>
          <w:rFonts w:ascii="Times New Roman" w:hAnsi="Times New Roman"/>
          <w:b/>
          <w:bCs/>
          <w:u w:val="single"/>
        </w:rPr>
        <w:t>se abstenham de exigir dos substituídos a opção entre a GAE ou VPNI, e que mantenham o pagamento cumulado dessas vantagens</w:t>
      </w:r>
      <w:r w:rsidRPr="00F51AAB">
        <w:rPr>
          <w:rFonts w:ascii="Times New Roman" w:hAnsi="Times New Roman"/>
        </w:rPr>
        <w:t>, inclusive no cálculo dos proventos de aposentadoria que tenham por base a totalidade da remuneração.</w:t>
      </w:r>
    </w:p>
    <w:p w14:paraId="2189FAD0" w14:textId="77777777" w:rsidR="00EE6E16" w:rsidRPr="00AB5CDA" w:rsidRDefault="00EE6E16" w:rsidP="00AB5CDA">
      <w:pPr>
        <w:spacing w:after="0" w:line="240" w:lineRule="auto"/>
        <w:ind w:left="1701"/>
        <w:jc w:val="both"/>
        <w:rPr>
          <w:rFonts w:ascii="Times New Roman" w:eastAsia="Times New Roman" w:hAnsi="Times New Roman"/>
        </w:rPr>
      </w:pPr>
    </w:p>
    <w:p w14:paraId="29030F2B" w14:textId="1B753100" w:rsidR="35E75B29" w:rsidRDefault="00F54D08" w:rsidP="163427A8">
      <w:pPr>
        <w:spacing w:after="0" w:line="240" w:lineRule="auto"/>
        <w:ind w:firstLine="1701"/>
        <w:jc w:val="both"/>
        <w:rPr>
          <w:rFonts w:ascii="Times New Roman" w:eastAsia="Times New Roman" w:hAnsi="Times New Roman"/>
          <w:sz w:val="26"/>
          <w:szCs w:val="26"/>
        </w:rPr>
      </w:pPr>
      <w:r>
        <w:rPr>
          <w:rFonts w:ascii="Times New Roman" w:eastAsia="Times New Roman" w:hAnsi="Times New Roman"/>
          <w:sz w:val="26"/>
          <w:szCs w:val="26"/>
        </w:rPr>
        <w:t xml:space="preserve">Em sede de apelação, a </w:t>
      </w:r>
      <w:r w:rsidR="14C3D4BA" w:rsidRPr="163427A8">
        <w:rPr>
          <w:rFonts w:ascii="Times New Roman" w:eastAsia="Times New Roman" w:hAnsi="Times New Roman"/>
          <w:sz w:val="26"/>
          <w:szCs w:val="26"/>
        </w:rPr>
        <w:t xml:space="preserve">5ª Turma Especializada </w:t>
      </w:r>
      <w:r w:rsidR="14C3D4BA" w:rsidRPr="163427A8">
        <w:rPr>
          <w:rFonts w:ascii="Times New Roman" w:eastAsia="Times New Roman" w:hAnsi="Times New Roman"/>
          <w:b/>
          <w:bCs/>
          <w:sz w:val="26"/>
          <w:szCs w:val="26"/>
        </w:rPr>
        <w:t xml:space="preserve">deu provimento ao recurso interposto </w:t>
      </w:r>
      <w:r>
        <w:rPr>
          <w:rFonts w:ascii="Times New Roman" w:eastAsia="Times New Roman" w:hAnsi="Times New Roman"/>
          <w:b/>
          <w:bCs/>
          <w:sz w:val="26"/>
          <w:szCs w:val="26"/>
        </w:rPr>
        <w:t>pelo Sisejufe</w:t>
      </w:r>
      <w:r w:rsidR="14C3D4BA" w:rsidRPr="163427A8">
        <w:rPr>
          <w:rFonts w:ascii="Times New Roman" w:eastAsia="Times New Roman" w:hAnsi="Times New Roman"/>
          <w:b/>
          <w:bCs/>
          <w:sz w:val="26"/>
          <w:szCs w:val="26"/>
        </w:rPr>
        <w:t xml:space="preserve">, </w:t>
      </w:r>
      <w:r w:rsidR="005F3B1F">
        <w:rPr>
          <w:rFonts w:ascii="Times New Roman" w:eastAsia="Times New Roman" w:hAnsi="Times New Roman"/>
          <w:b/>
          <w:bCs/>
          <w:sz w:val="26"/>
          <w:szCs w:val="26"/>
        </w:rPr>
        <w:t>reconhecendo o direito dos substituídos de perceberem</w:t>
      </w:r>
      <w:r w:rsidR="00E92278">
        <w:rPr>
          <w:rFonts w:ascii="Times New Roman" w:eastAsia="Times New Roman" w:hAnsi="Times New Roman"/>
          <w:b/>
          <w:bCs/>
          <w:sz w:val="26"/>
          <w:szCs w:val="26"/>
        </w:rPr>
        <w:t xml:space="preserve"> </w:t>
      </w:r>
      <w:r w:rsidR="005F3B1F">
        <w:rPr>
          <w:rFonts w:ascii="Times New Roman" w:eastAsia="Times New Roman" w:hAnsi="Times New Roman"/>
          <w:b/>
          <w:bCs/>
          <w:sz w:val="26"/>
          <w:szCs w:val="26"/>
        </w:rPr>
        <w:t>ambas as parcelas</w:t>
      </w:r>
      <w:r w:rsidR="00CD4B49">
        <w:rPr>
          <w:rFonts w:ascii="Times New Roman" w:eastAsia="Times New Roman" w:hAnsi="Times New Roman"/>
          <w:b/>
          <w:bCs/>
          <w:sz w:val="26"/>
          <w:szCs w:val="26"/>
        </w:rPr>
        <w:t>, e</w:t>
      </w:r>
      <w:r w:rsidR="14C3D4BA" w:rsidRPr="163427A8">
        <w:rPr>
          <w:rFonts w:ascii="Times New Roman" w:eastAsia="Times New Roman" w:hAnsi="Times New Roman"/>
          <w:b/>
          <w:bCs/>
          <w:sz w:val="26"/>
          <w:szCs w:val="26"/>
        </w:rPr>
        <w:t>m decisão assim ementada:</w:t>
      </w:r>
    </w:p>
    <w:p w14:paraId="4E1A2C5E" w14:textId="05E0D0F6" w:rsidR="163427A8" w:rsidRDefault="163427A8" w:rsidP="163427A8">
      <w:pPr>
        <w:spacing w:after="0" w:line="240" w:lineRule="auto"/>
        <w:ind w:firstLine="1701"/>
        <w:jc w:val="both"/>
        <w:rPr>
          <w:rFonts w:ascii="Times New Roman" w:eastAsia="Times New Roman" w:hAnsi="Times New Roman"/>
          <w:sz w:val="26"/>
          <w:szCs w:val="26"/>
        </w:rPr>
      </w:pPr>
    </w:p>
    <w:p w14:paraId="1AC31845" w14:textId="42F706FB" w:rsidR="14C3D4BA" w:rsidRPr="00CD4B49" w:rsidRDefault="14C3D4BA" w:rsidP="163427A8">
      <w:pPr>
        <w:spacing w:after="0" w:line="240" w:lineRule="auto"/>
        <w:ind w:left="1701"/>
        <w:jc w:val="both"/>
        <w:rPr>
          <w:rFonts w:ascii="Times New Roman" w:eastAsia="Times New Roman" w:hAnsi="Times New Roman"/>
        </w:rPr>
      </w:pPr>
      <w:r w:rsidRPr="00CD4B49">
        <w:rPr>
          <w:rFonts w:ascii="Times New Roman" w:eastAsia="Times New Roman" w:hAnsi="Times New Roman"/>
        </w:rPr>
        <w:t xml:space="preserve">ADMINISTRATIVO.  SERVIDOR CIVIL.  GAE E VPNI. NATUREZAS DISTINTAS. CUMULAÇÃO. POSSIBILIDADE. SEGURANÇA JURÍDICA. RECURSO PROVIDO. </w:t>
      </w:r>
    </w:p>
    <w:p w14:paraId="732A2E64" w14:textId="1FE8786D" w:rsidR="14C3D4BA" w:rsidRPr="00CD4B49" w:rsidRDefault="14C3D4BA" w:rsidP="163427A8">
      <w:pPr>
        <w:spacing w:after="0" w:line="240" w:lineRule="auto"/>
        <w:ind w:left="1701"/>
        <w:jc w:val="both"/>
        <w:rPr>
          <w:rFonts w:ascii="Times New Roman" w:eastAsia="Times New Roman" w:hAnsi="Times New Roman"/>
        </w:rPr>
      </w:pPr>
      <w:r w:rsidRPr="00CD4B49">
        <w:rPr>
          <w:rFonts w:ascii="Times New Roman" w:eastAsia="Times New Roman" w:hAnsi="Times New Roman"/>
        </w:rPr>
        <w:t xml:space="preserve">1.  Apelação cível em face de sentença que denegou a segurança nos autos do mandamus impetrado pelo SISEJUFE objetivando que as autoridades coatoras, Secretário de Gestão de Pessoas e do Coordenador da Coordenadoria Regional de Aposentadorias e Pensões (CORAPE), “se eximam de exigir dos substituídos a escolha entre a percepção da GAE e da VPNI e que estes possam receber as duas gratificações acumuladamente”. </w:t>
      </w:r>
    </w:p>
    <w:p w14:paraId="0E62A568" w14:textId="693FACA2" w:rsidR="14C3D4BA" w:rsidRPr="00CD4B49" w:rsidRDefault="14C3D4BA" w:rsidP="163427A8">
      <w:pPr>
        <w:spacing w:after="0" w:line="240" w:lineRule="auto"/>
        <w:ind w:left="1701"/>
        <w:jc w:val="both"/>
        <w:rPr>
          <w:rFonts w:ascii="Times New Roman" w:eastAsia="Times New Roman" w:hAnsi="Times New Roman"/>
        </w:rPr>
      </w:pPr>
      <w:r w:rsidRPr="00CD4B49">
        <w:rPr>
          <w:rFonts w:ascii="Times New Roman" w:eastAsia="Times New Roman" w:hAnsi="Times New Roman"/>
        </w:rPr>
        <w:t xml:space="preserve">2.  A sentença recorrida utilizou como um de seus fundamentos a Portaria Conjunta nº 01/2007 do STF, regulamentadora da Lei 11.416/2006, cujo art. 16, </w:t>
      </w:r>
      <w:r w:rsidRPr="00CD4B49">
        <w:rPr>
          <w:rFonts w:ascii="Times New Roman" w:eastAsia="Times New Roman" w:hAnsi="Times New Roman"/>
        </w:rPr>
        <w:lastRenderedPageBreak/>
        <w:t xml:space="preserve">§ 2º, afasta a possibilidade de percepção da Gratificação de Atividade Externa por servidor designado para o exercício de função comissionada. </w:t>
      </w:r>
    </w:p>
    <w:p w14:paraId="51C44F90" w14:textId="50ED0268" w:rsidR="14C3D4BA" w:rsidRPr="00CD4B49" w:rsidRDefault="14C3D4BA" w:rsidP="163427A8">
      <w:pPr>
        <w:spacing w:after="0" w:line="240" w:lineRule="auto"/>
        <w:ind w:left="1701"/>
        <w:jc w:val="both"/>
        <w:rPr>
          <w:rFonts w:ascii="Times New Roman" w:eastAsia="Times New Roman" w:hAnsi="Times New Roman"/>
        </w:rPr>
      </w:pPr>
      <w:r w:rsidRPr="00CD4B49">
        <w:rPr>
          <w:rFonts w:ascii="Times New Roman" w:eastAsia="Times New Roman" w:hAnsi="Times New Roman"/>
        </w:rPr>
        <w:t xml:space="preserve">3. Entretanto, em recente julgado, o Supremo Tribunal Federal, por ocasião da apreciação da Medida Cautelar no MS: 35193 DF, deferiu liminar, adotando posicionamento no sentido da possibilidade de cumulação das verbas em questão, VPNI e GAJ, tendo em vista os princípios da segurança jurídica, bem como o da legítima confiança. </w:t>
      </w:r>
    </w:p>
    <w:p w14:paraId="3746916E" w14:textId="0DDAA514" w:rsidR="14C3D4BA" w:rsidRPr="00CD4B49" w:rsidRDefault="14C3D4BA" w:rsidP="163427A8">
      <w:pPr>
        <w:spacing w:after="0" w:line="240" w:lineRule="auto"/>
        <w:ind w:left="1701"/>
        <w:jc w:val="both"/>
        <w:rPr>
          <w:rFonts w:ascii="Times New Roman" w:eastAsia="Times New Roman" w:hAnsi="Times New Roman"/>
        </w:rPr>
      </w:pPr>
      <w:r w:rsidRPr="00CD4B49">
        <w:rPr>
          <w:rFonts w:ascii="Times New Roman" w:eastAsia="Times New Roman" w:hAnsi="Times New Roman"/>
        </w:rPr>
        <w:t>4.  Ademais, a condicionante imposta pelas autoridades coatoras aos servidores para o exercício do direito à aposentadoria representa uma medida contrária aos princípios norteadores do ordenamento jurídico, pois a</w:t>
      </w:r>
      <w:r w:rsidRPr="00CD4B49">
        <w:rPr>
          <w:rFonts w:ascii="Times New Roman" w:eastAsia="Times New Roman" w:hAnsi="Times New Roman"/>
          <w:b/>
          <w:bCs/>
        </w:rPr>
        <w:t xml:space="preserve">lém de violar a segurança jurídica consubstanciada por anos de percepção de verbas supostamente de natureza idêntica, </w:t>
      </w:r>
      <w:r w:rsidRPr="00B01590">
        <w:rPr>
          <w:rFonts w:ascii="Times New Roman" w:eastAsia="Times New Roman" w:hAnsi="Times New Roman"/>
        </w:rPr>
        <w:t xml:space="preserve">restringe o direito à aposentadoria desproporcionalmente, de forma arbitrária, tendo em vista a aplicabilidade do entendimento proferido pelo Acórdão 2.784/2016  do  TCU,  que  não  possui  força  vinculante, </w:t>
      </w:r>
      <w:r w:rsidRPr="00CD4B49">
        <w:rPr>
          <w:rFonts w:ascii="Times New Roman" w:eastAsia="Times New Roman" w:hAnsi="Times New Roman"/>
        </w:rPr>
        <w:t xml:space="preserve"> sem  oportunizar  o oferecimento do contraditório e da ampla defesa aos substituídos. </w:t>
      </w:r>
    </w:p>
    <w:p w14:paraId="556BDF7C" w14:textId="47A25535" w:rsidR="14C3D4BA" w:rsidRPr="00CD4B49" w:rsidRDefault="14C3D4BA" w:rsidP="163427A8">
      <w:pPr>
        <w:spacing w:after="0" w:line="240" w:lineRule="auto"/>
        <w:ind w:left="1701"/>
        <w:jc w:val="both"/>
        <w:rPr>
          <w:rFonts w:ascii="Times New Roman" w:eastAsia="Times New Roman" w:hAnsi="Times New Roman"/>
        </w:rPr>
      </w:pPr>
      <w:r w:rsidRPr="00CD4B49">
        <w:rPr>
          <w:rFonts w:ascii="Times New Roman" w:eastAsia="Times New Roman" w:hAnsi="Times New Roman"/>
        </w:rPr>
        <w:t xml:space="preserve">5.  </w:t>
      </w:r>
      <w:r w:rsidRPr="00CD4B49">
        <w:rPr>
          <w:rFonts w:ascii="Times New Roman" w:eastAsia="Times New Roman" w:hAnsi="Times New Roman"/>
          <w:b/>
          <w:bCs/>
        </w:rPr>
        <w:t xml:space="preserve">Há que se destacar que a lei instituidora da gratificação em comento, Lei 11.416/2006, não fez qualquer restrição em relação aos servidores que percebiam outras gratificações e, onde a lei não restringiu, não cabe ao intérprete do direito fazê-lo, principalmente para reduzir direitos. </w:t>
      </w:r>
      <w:r w:rsidRPr="00CD4B49">
        <w:rPr>
          <w:rFonts w:ascii="Times New Roman" w:eastAsia="Times New Roman" w:hAnsi="Times New Roman"/>
        </w:rPr>
        <w:t xml:space="preserve">Logo, cabível a percepção conjunta da GAE com a VPNI, relativa à incorporação dos quintos. </w:t>
      </w:r>
    </w:p>
    <w:p w14:paraId="2746C50C" w14:textId="33BF71C4" w:rsidR="14C3D4BA" w:rsidRDefault="14C3D4BA" w:rsidP="163427A8">
      <w:pPr>
        <w:spacing w:after="0" w:line="240" w:lineRule="auto"/>
        <w:ind w:left="1701"/>
        <w:jc w:val="both"/>
        <w:rPr>
          <w:rFonts w:ascii="Times New Roman" w:eastAsia="Times New Roman" w:hAnsi="Times New Roman"/>
        </w:rPr>
      </w:pPr>
      <w:r w:rsidRPr="00CD4B49">
        <w:rPr>
          <w:rFonts w:ascii="Times New Roman" w:eastAsia="Times New Roman" w:hAnsi="Times New Roman"/>
        </w:rPr>
        <w:t xml:space="preserve">6. Apelação provida, para </w:t>
      </w:r>
      <w:r w:rsidRPr="008B395C">
        <w:rPr>
          <w:rFonts w:ascii="Times New Roman" w:eastAsia="Times New Roman" w:hAnsi="Times New Roman"/>
        </w:rPr>
        <w:t>determinar que as autoridades coatoras se eximam de exigir a opção por parte dos substituídos,</w:t>
      </w:r>
      <w:r w:rsidRPr="00CD4B49">
        <w:rPr>
          <w:rFonts w:ascii="Times New Roman" w:eastAsia="Times New Roman" w:hAnsi="Times New Roman"/>
          <w:b/>
          <w:bCs/>
        </w:rPr>
        <w:t xml:space="preserve"> reconhecendo-lhes o direito à cumulação da GAE com a VPNI, conforme pleiteado na inicial</w:t>
      </w:r>
      <w:r w:rsidRPr="00CD4B49">
        <w:rPr>
          <w:rFonts w:ascii="Times New Roman" w:eastAsia="Times New Roman" w:hAnsi="Times New Roman"/>
        </w:rPr>
        <w:t>.</w:t>
      </w:r>
    </w:p>
    <w:p w14:paraId="024E7D0A" w14:textId="34B6F5C7" w:rsidR="163427A8" w:rsidRDefault="163427A8" w:rsidP="163427A8">
      <w:pPr>
        <w:spacing w:after="0" w:line="240" w:lineRule="auto"/>
        <w:ind w:firstLine="1701"/>
        <w:jc w:val="both"/>
        <w:rPr>
          <w:rFonts w:ascii="Times New Roman" w:eastAsia="Times New Roman" w:hAnsi="Times New Roman"/>
          <w:color w:val="000000" w:themeColor="text1"/>
          <w:sz w:val="26"/>
          <w:szCs w:val="26"/>
        </w:rPr>
      </w:pPr>
    </w:p>
    <w:p w14:paraId="6B412D92" w14:textId="03C8A1DE" w:rsidR="163427A8" w:rsidRDefault="00361A7B" w:rsidP="163427A8">
      <w:pPr>
        <w:spacing w:after="0" w:line="240" w:lineRule="auto"/>
        <w:ind w:firstLine="1701"/>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Importante destacar, ainda, a decisão proferida nos Embargos Declaratórios interpostos pelo Sisejufe, </w:t>
      </w:r>
      <w:r w:rsidRPr="00377D92">
        <w:rPr>
          <w:rFonts w:ascii="Times New Roman" w:eastAsia="Times New Roman" w:hAnsi="Times New Roman"/>
          <w:b/>
          <w:bCs/>
          <w:color w:val="000000" w:themeColor="text1"/>
          <w:sz w:val="26"/>
          <w:szCs w:val="26"/>
          <w:u w:val="single"/>
        </w:rPr>
        <w:t xml:space="preserve">da qual fica claro que o direito foi reconhecido </w:t>
      </w:r>
      <w:r w:rsidR="0053530C">
        <w:rPr>
          <w:rFonts w:ascii="Times New Roman" w:eastAsia="Times New Roman" w:hAnsi="Times New Roman"/>
          <w:b/>
          <w:bCs/>
          <w:color w:val="000000" w:themeColor="text1"/>
          <w:sz w:val="26"/>
          <w:szCs w:val="26"/>
          <w:u w:val="single"/>
        </w:rPr>
        <w:t xml:space="preserve">pela decisão judicial </w:t>
      </w:r>
      <w:r w:rsidRPr="00377D92">
        <w:rPr>
          <w:rFonts w:ascii="Times New Roman" w:eastAsia="Times New Roman" w:hAnsi="Times New Roman"/>
          <w:b/>
          <w:bCs/>
          <w:color w:val="000000" w:themeColor="text1"/>
          <w:sz w:val="26"/>
          <w:szCs w:val="26"/>
          <w:u w:val="single"/>
        </w:rPr>
        <w:t>tanto aos servidores ativos quanto aos aposentados</w:t>
      </w:r>
      <w:r>
        <w:rPr>
          <w:rFonts w:ascii="Times New Roman" w:eastAsia="Times New Roman" w:hAnsi="Times New Roman"/>
          <w:color w:val="000000" w:themeColor="text1"/>
          <w:sz w:val="26"/>
          <w:szCs w:val="26"/>
        </w:rPr>
        <w:t>:</w:t>
      </w:r>
    </w:p>
    <w:p w14:paraId="5D70BFFE" w14:textId="4982592D" w:rsidR="00361A7B" w:rsidRDefault="00361A7B" w:rsidP="163427A8">
      <w:pPr>
        <w:spacing w:after="0" w:line="240" w:lineRule="auto"/>
        <w:ind w:firstLine="1701"/>
        <w:jc w:val="both"/>
        <w:rPr>
          <w:rFonts w:ascii="Times New Roman" w:eastAsia="Times New Roman" w:hAnsi="Times New Roman"/>
          <w:color w:val="000000" w:themeColor="text1"/>
          <w:sz w:val="26"/>
          <w:szCs w:val="26"/>
        </w:rPr>
      </w:pPr>
    </w:p>
    <w:p w14:paraId="2A8631E8" w14:textId="77777777" w:rsidR="00A91CF3" w:rsidRPr="00A91CF3" w:rsidRDefault="00A91CF3" w:rsidP="00A91CF3">
      <w:pPr>
        <w:spacing w:after="0" w:line="240" w:lineRule="auto"/>
        <w:ind w:left="1701"/>
        <w:jc w:val="both"/>
        <w:rPr>
          <w:rFonts w:ascii="Times New Roman" w:eastAsia="Times New Roman" w:hAnsi="Times New Roman"/>
          <w:color w:val="000000" w:themeColor="text1"/>
        </w:rPr>
      </w:pPr>
      <w:r w:rsidRPr="00A91CF3">
        <w:rPr>
          <w:rFonts w:ascii="Times New Roman" w:eastAsia="Times New Roman" w:hAnsi="Times New Roman"/>
          <w:color w:val="000000" w:themeColor="text1"/>
        </w:rPr>
        <w:t>Em relação ao recurso oposto pelo SISEJUFE/RJ, merece acolhida o argumento</w:t>
      </w:r>
    </w:p>
    <w:p w14:paraId="28A3EE63" w14:textId="7784E237" w:rsidR="00361A7B" w:rsidRDefault="00A91CF3" w:rsidP="00A91CF3">
      <w:pPr>
        <w:spacing w:after="0" w:line="240" w:lineRule="auto"/>
        <w:ind w:left="1701"/>
        <w:jc w:val="both"/>
        <w:rPr>
          <w:rFonts w:ascii="Times New Roman" w:eastAsia="Times New Roman" w:hAnsi="Times New Roman"/>
          <w:color w:val="000000" w:themeColor="text1"/>
        </w:rPr>
      </w:pPr>
      <w:r w:rsidRPr="00A91CF3">
        <w:rPr>
          <w:rFonts w:ascii="Times New Roman" w:eastAsia="Times New Roman" w:hAnsi="Times New Roman"/>
          <w:color w:val="000000" w:themeColor="text1"/>
        </w:rPr>
        <w:t>suscitado, vez que o acórdão não tratou acerca da situação dos servidores já aposentados e que</w:t>
      </w:r>
      <w:r>
        <w:rPr>
          <w:rFonts w:ascii="Times New Roman" w:eastAsia="Times New Roman" w:hAnsi="Times New Roman"/>
          <w:color w:val="000000" w:themeColor="text1"/>
        </w:rPr>
        <w:t xml:space="preserve"> </w:t>
      </w:r>
      <w:r w:rsidRPr="00A91CF3">
        <w:rPr>
          <w:rFonts w:ascii="Times New Roman" w:eastAsia="Times New Roman" w:hAnsi="Times New Roman"/>
          <w:color w:val="000000" w:themeColor="text1"/>
        </w:rPr>
        <w:t>fizeram a opção, o que passarei a analisar a partir de agora.</w:t>
      </w:r>
    </w:p>
    <w:p w14:paraId="3FE74AFF" w14:textId="0A8FF45B" w:rsidR="00CA3A62" w:rsidRPr="00A91CF3" w:rsidRDefault="00CA3A62" w:rsidP="00A91CF3">
      <w:pPr>
        <w:spacing w:after="0" w:line="240" w:lineRule="auto"/>
        <w:ind w:left="1701"/>
        <w:jc w:val="both"/>
        <w:rPr>
          <w:rFonts w:ascii="Times New Roman" w:eastAsia="Times New Roman" w:hAnsi="Times New Roman"/>
          <w:color w:val="000000" w:themeColor="text1"/>
        </w:rPr>
      </w:pPr>
      <w:r>
        <w:rPr>
          <w:rFonts w:ascii="Times New Roman" w:eastAsia="Times New Roman" w:hAnsi="Times New Roman"/>
          <w:color w:val="000000" w:themeColor="text1"/>
        </w:rPr>
        <w:t>(...)</w:t>
      </w:r>
    </w:p>
    <w:p w14:paraId="7FB768AA" w14:textId="6C42075B" w:rsidR="00CA3A62" w:rsidRPr="00CA3A62" w:rsidRDefault="00CA3A62" w:rsidP="00CA3A62">
      <w:pPr>
        <w:spacing w:after="0" w:line="240" w:lineRule="auto"/>
        <w:ind w:left="1701"/>
        <w:jc w:val="both"/>
        <w:rPr>
          <w:rFonts w:ascii="Times New Roman" w:eastAsia="Times New Roman" w:hAnsi="Times New Roman"/>
          <w:color w:val="000000" w:themeColor="text1"/>
        </w:rPr>
      </w:pPr>
      <w:r w:rsidRPr="00CA3A62">
        <w:rPr>
          <w:rFonts w:ascii="Times New Roman" w:eastAsia="Times New Roman" w:hAnsi="Times New Roman"/>
          <w:color w:val="000000" w:themeColor="text1"/>
        </w:rPr>
        <w:t xml:space="preserve">Desta forma, </w:t>
      </w:r>
      <w:r w:rsidRPr="00C86119">
        <w:rPr>
          <w:rFonts w:ascii="Times New Roman" w:eastAsia="Times New Roman" w:hAnsi="Times New Roman"/>
          <w:b/>
          <w:bCs/>
          <w:color w:val="000000" w:themeColor="text1"/>
        </w:rPr>
        <w:t>sendo um direito reconhecido aos servidores da ativa, evidente sua</w:t>
      </w:r>
      <w:r w:rsidR="00C86119">
        <w:rPr>
          <w:rFonts w:ascii="Times New Roman" w:eastAsia="Times New Roman" w:hAnsi="Times New Roman"/>
          <w:b/>
          <w:bCs/>
          <w:color w:val="000000" w:themeColor="text1"/>
        </w:rPr>
        <w:t xml:space="preserve"> </w:t>
      </w:r>
      <w:r w:rsidRPr="00C86119">
        <w:rPr>
          <w:rFonts w:ascii="Times New Roman" w:eastAsia="Times New Roman" w:hAnsi="Times New Roman"/>
          <w:b/>
          <w:bCs/>
          <w:color w:val="000000" w:themeColor="text1"/>
        </w:rPr>
        <w:t>extensão aos inativos</w:t>
      </w:r>
      <w:r w:rsidRPr="00CA3A62">
        <w:rPr>
          <w:rFonts w:ascii="Times New Roman" w:eastAsia="Times New Roman" w:hAnsi="Times New Roman"/>
          <w:color w:val="000000" w:themeColor="text1"/>
        </w:rPr>
        <w:t>, visto que a opção realizada por ocasião da aposentadoria decorreu de</w:t>
      </w:r>
      <w:r>
        <w:rPr>
          <w:rFonts w:ascii="Times New Roman" w:eastAsia="Times New Roman" w:hAnsi="Times New Roman"/>
          <w:color w:val="000000" w:themeColor="text1"/>
        </w:rPr>
        <w:t xml:space="preserve"> </w:t>
      </w:r>
      <w:r w:rsidRPr="00CA3A62">
        <w:rPr>
          <w:rFonts w:ascii="Times New Roman" w:eastAsia="Times New Roman" w:hAnsi="Times New Roman"/>
          <w:color w:val="000000" w:themeColor="text1"/>
        </w:rPr>
        <w:t>condicionante imposta pelas autoridades coatoras para fins de concessão do benefício, o que se</w:t>
      </w:r>
      <w:r>
        <w:rPr>
          <w:rFonts w:ascii="Times New Roman" w:eastAsia="Times New Roman" w:hAnsi="Times New Roman"/>
          <w:color w:val="000000" w:themeColor="text1"/>
        </w:rPr>
        <w:t xml:space="preserve"> </w:t>
      </w:r>
      <w:r w:rsidRPr="00CA3A62">
        <w:rPr>
          <w:rFonts w:ascii="Times New Roman" w:eastAsia="Times New Roman" w:hAnsi="Times New Roman"/>
          <w:color w:val="000000" w:themeColor="text1"/>
        </w:rPr>
        <w:t>revela inválida, diante da decisão proferida pelo Supremo Tribunal Federal no sentido da</w:t>
      </w:r>
      <w:r>
        <w:rPr>
          <w:rFonts w:ascii="Times New Roman" w:eastAsia="Times New Roman" w:hAnsi="Times New Roman"/>
          <w:color w:val="000000" w:themeColor="text1"/>
        </w:rPr>
        <w:t xml:space="preserve"> </w:t>
      </w:r>
      <w:r w:rsidRPr="00CA3A62">
        <w:rPr>
          <w:rFonts w:ascii="Times New Roman" w:eastAsia="Times New Roman" w:hAnsi="Times New Roman"/>
          <w:color w:val="000000" w:themeColor="text1"/>
        </w:rPr>
        <w:t>possibilidade de acumulação da Gratificação por Atividade Externa e da Vantagem Pessoal</w:t>
      </w:r>
      <w:r>
        <w:rPr>
          <w:rFonts w:ascii="Times New Roman" w:eastAsia="Times New Roman" w:hAnsi="Times New Roman"/>
          <w:color w:val="000000" w:themeColor="text1"/>
        </w:rPr>
        <w:t xml:space="preserve"> </w:t>
      </w:r>
      <w:r w:rsidRPr="00CA3A62">
        <w:rPr>
          <w:rFonts w:ascii="Times New Roman" w:eastAsia="Times New Roman" w:hAnsi="Times New Roman"/>
          <w:color w:val="000000" w:themeColor="text1"/>
        </w:rPr>
        <w:t>Nominalmente Identificada.</w:t>
      </w:r>
    </w:p>
    <w:p w14:paraId="7182B368" w14:textId="411C5FDC" w:rsidR="008B395C" w:rsidRPr="00A91CF3" w:rsidRDefault="00CA3A62" w:rsidP="00CA3A62">
      <w:pPr>
        <w:spacing w:after="0" w:line="240" w:lineRule="auto"/>
        <w:ind w:left="1701"/>
        <w:jc w:val="both"/>
        <w:rPr>
          <w:rFonts w:ascii="Times New Roman" w:eastAsia="Times New Roman" w:hAnsi="Times New Roman"/>
          <w:color w:val="000000" w:themeColor="text1"/>
        </w:rPr>
      </w:pPr>
      <w:r w:rsidRPr="00C86119">
        <w:rPr>
          <w:rFonts w:ascii="Times New Roman" w:eastAsia="Times New Roman" w:hAnsi="Times New Roman"/>
          <w:b/>
          <w:bCs/>
          <w:color w:val="000000" w:themeColor="text1"/>
        </w:rPr>
        <w:t>Assim, devem ser acolhidos os presentes embargos de declaração para declarar a</w:t>
      </w:r>
      <w:r w:rsidR="00C86119">
        <w:rPr>
          <w:rFonts w:ascii="Times New Roman" w:eastAsia="Times New Roman" w:hAnsi="Times New Roman"/>
          <w:b/>
          <w:bCs/>
          <w:color w:val="000000" w:themeColor="text1"/>
        </w:rPr>
        <w:t xml:space="preserve"> </w:t>
      </w:r>
      <w:r w:rsidRPr="00C86119">
        <w:rPr>
          <w:rFonts w:ascii="Times New Roman" w:eastAsia="Times New Roman" w:hAnsi="Times New Roman"/>
          <w:b/>
          <w:bCs/>
          <w:color w:val="000000" w:themeColor="text1"/>
        </w:rPr>
        <w:t>extensão do direito de acumulação aos servidores inativos</w:t>
      </w:r>
      <w:r w:rsidRPr="00CA3A62">
        <w:rPr>
          <w:rFonts w:ascii="Times New Roman" w:eastAsia="Times New Roman" w:hAnsi="Times New Roman"/>
          <w:color w:val="000000" w:themeColor="text1"/>
        </w:rPr>
        <w:t>, inclusive aqueles aposentados por</w:t>
      </w:r>
      <w:r>
        <w:rPr>
          <w:rFonts w:ascii="Times New Roman" w:eastAsia="Times New Roman" w:hAnsi="Times New Roman"/>
          <w:color w:val="000000" w:themeColor="text1"/>
        </w:rPr>
        <w:t xml:space="preserve"> </w:t>
      </w:r>
      <w:r w:rsidRPr="00CA3A62">
        <w:rPr>
          <w:rFonts w:ascii="Times New Roman" w:eastAsia="Times New Roman" w:hAnsi="Times New Roman"/>
          <w:color w:val="000000" w:themeColor="text1"/>
        </w:rPr>
        <w:t>invalidez, devolvendo-se os valores indevidamente descontados, desde a impetração do presente</w:t>
      </w:r>
      <w:r>
        <w:rPr>
          <w:rFonts w:ascii="Times New Roman" w:eastAsia="Times New Roman" w:hAnsi="Times New Roman"/>
          <w:color w:val="000000" w:themeColor="text1"/>
        </w:rPr>
        <w:t xml:space="preserve"> </w:t>
      </w:r>
      <w:r w:rsidRPr="00CA3A62">
        <w:rPr>
          <w:rFonts w:ascii="Times New Roman" w:eastAsia="Times New Roman" w:hAnsi="Times New Roman"/>
          <w:i/>
          <w:iCs/>
          <w:color w:val="000000" w:themeColor="text1"/>
        </w:rPr>
        <w:t>mandamus</w:t>
      </w:r>
      <w:r w:rsidRPr="00CA3A62">
        <w:rPr>
          <w:rFonts w:ascii="Times New Roman" w:eastAsia="Times New Roman" w:hAnsi="Times New Roman"/>
          <w:color w:val="000000" w:themeColor="text1"/>
        </w:rPr>
        <w:t>, devendo as demais verbas serem cobradas em vias próprias.</w:t>
      </w:r>
    </w:p>
    <w:p w14:paraId="152D565C" w14:textId="57E61989" w:rsidR="0D1069A5" w:rsidRPr="00A91CF3" w:rsidRDefault="0D1069A5" w:rsidP="00A91CF3">
      <w:pPr>
        <w:spacing w:after="0" w:line="240" w:lineRule="auto"/>
        <w:ind w:left="1701"/>
        <w:jc w:val="both"/>
        <w:rPr>
          <w:rFonts w:ascii="Times New Roman" w:eastAsia="Times New Roman" w:hAnsi="Times New Roman"/>
        </w:rPr>
      </w:pPr>
    </w:p>
    <w:p w14:paraId="3C950399" w14:textId="7E0D438A" w:rsidR="009A37CB" w:rsidRDefault="009A37CB" w:rsidP="16D0F8A3">
      <w:pPr>
        <w:spacing w:after="0" w:line="240" w:lineRule="auto"/>
        <w:ind w:firstLine="1701"/>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O acórdão da 5ª Turma Especializada, claramente, conferiu a segurança </w:t>
      </w:r>
      <w:r w:rsidR="0052566B">
        <w:rPr>
          <w:rFonts w:ascii="Times New Roman" w:eastAsia="Times New Roman" w:hAnsi="Times New Roman"/>
          <w:sz w:val="26"/>
          <w:szCs w:val="26"/>
        </w:rPr>
        <w:t>nos exatos termos dos pedidos exarados na inicial, de modo que restou reconhecido o direito a todos os substituídos pelo Sisejufe, isto é, a todos os Oficiais de Justiça da SJRJ e TRF2 filiados ao sindicato e que percebem a GAE cumulativamente com a VPNI oriunda de quintos incorporados</w:t>
      </w:r>
      <w:r w:rsidR="00A64F35">
        <w:rPr>
          <w:rFonts w:ascii="Times New Roman" w:eastAsia="Times New Roman" w:hAnsi="Times New Roman"/>
          <w:sz w:val="26"/>
          <w:szCs w:val="26"/>
        </w:rPr>
        <w:t xml:space="preserve"> da função de Executante de Mandados</w:t>
      </w:r>
      <w:r w:rsidR="00270374">
        <w:rPr>
          <w:rFonts w:ascii="Times New Roman" w:eastAsia="Times New Roman" w:hAnsi="Times New Roman"/>
          <w:sz w:val="26"/>
          <w:szCs w:val="26"/>
        </w:rPr>
        <w:t>.</w:t>
      </w:r>
    </w:p>
    <w:p w14:paraId="5DE50123" w14:textId="35698D3B" w:rsidR="00270374" w:rsidRDefault="00270374" w:rsidP="16D0F8A3">
      <w:pPr>
        <w:spacing w:after="0" w:line="240" w:lineRule="auto"/>
        <w:ind w:firstLine="1701"/>
        <w:jc w:val="both"/>
        <w:rPr>
          <w:rFonts w:ascii="Times New Roman" w:eastAsia="Times New Roman" w:hAnsi="Times New Roman"/>
          <w:sz w:val="26"/>
          <w:szCs w:val="26"/>
        </w:rPr>
      </w:pPr>
    </w:p>
    <w:p w14:paraId="2D5BF164" w14:textId="4FCE717C" w:rsidR="00270374" w:rsidRDefault="00270374" w:rsidP="16D0F8A3">
      <w:pPr>
        <w:spacing w:after="0" w:line="240" w:lineRule="auto"/>
        <w:ind w:firstLine="1701"/>
        <w:jc w:val="both"/>
        <w:rPr>
          <w:rFonts w:ascii="Times New Roman" w:eastAsia="Times New Roman" w:hAnsi="Times New Roman"/>
          <w:sz w:val="26"/>
          <w:szCs w:val="26"/>
        </w:rPr>
      </w:pPr>
      <w:r>
        <w:rPr>
          <w:rFonts w:ascii="Times New Roman" w:eastAsia="Times New Roman" w:hAnsi="Times New Roman"/>
          <w:sz w:val="26"/>
          <w:szCs w:val="26"/>
        </w:rPr>
        <w:t xml:space="preserve">Importante observar, além disso, que </w:t>
      </w:r>
      <w:r w:rsidR="00F66EB7">
        <w:rPr>
          <w:rFonts w:ascii="Times New Roman" w:eastAsia="Times New Roman" w:hAnsi="Times New Roman"/>
          <w:sz w:val="26"/>
          <w:szCs w:val="26"/>
        </w:rPr>
        <w:t xml:space="preserve">antes do julgamento da apelação, </w:t>
      </w:r>
      <w:r w:rsidR="00A408F9">
        <w:rPr>
          <w:rFonts w:ascii="Times New Roman" w:eastAsia="Times New Roman" w:hAnsi="Times New Roman"/>
          <w:sz w:val="26"/>
          <w:szCs w:val="26"/>
        </w:rPr>
        <w:t>a 5ª Turma do TRF</w:t>
      </w:r>
      <w:r w:rsidR="00E01E1A">
        <w:rPr>
          <w:rFonts w:ascii="Times New Roman" w:eastAsia="Times New Roman" w:hAnsi="Times New Roman"/>
          <w:sz w:val="26"/>
          <w:szCs w:val="26"/>
        </w:rPr>
        <w:t xml:space="preserve">2 julgou o Agravo de Instrumento nº </w:t>
      </w:r>
      <w:r w:rsidR="00E01E1A" w:rsidRPr="00E01E1A">
        <w:rPr>
          <w:rFonts w:ascii="Times New Roman" w:eastAsia="Times New Roman" w:hAnsi="Times New Roman"/>
          <w:sz w:val="26"/>
          <w:szCs w:val="26"/>
        </w:rPr>
        <w:t>0003266-07.2017.4.02.0000,</w:t>
      </w:r>
      <w:r w:rsidR="00E01E1A">
        <w:rPr>
          <w:rFonts w:ascii="Times New Roman" w:eastAsia="Times New Roman" w:hAnsi="Times New Roman"/>
          <w:sz w:val="26"/>
          <w:szCs w:val="26"/>
        </w:rPr>
        <w:t xml:space="preserve"> interposto contra a decisão do juízo de 1ª instância que indeferira o pedido de liminar no </w:t>
      </w:r>
      <w:r w:rsidR="00E01E1A">
        <w:rPr>
          <w:rFonts w:ascii="Times New Roman" w:eastAsia="Times New Roman" w:hAnsi="Times New Roman"/>
          <w:i/>
          <w:iCs/>
          <w:sz w:val="26"/>
          <w:szCs w:val="26"/>
        </w:rPr>
        <w:t>mandamus</w:t>
      </w:r>
      <w:r w:rsidR="00343D65">
        <w:rPr>
          <w:rFonts w:ascii="Times New Roman" w:eastAsia="Times New Roman" w:hAnsi="Times New Roman"/>
          <w:sz w:val="26"/>
          <w:szCs w:val="26"/>
        </w:rPr>
        <w:t xml:space="preserve">. O AI interposto pelo Sisejufe foi então provido, </w:t>
      </w:r>
      <w:r w:rsidR="00343D65" w:rsidRPr="00A22C08">
        <w:rPr>
          <w:rFonts w:ascii="Times New Roman" w:eastAsia="Times New Roman" w:hAnsi="Times New Roman"/>
          <w:b/>
          <w:bCs/>
          <w:sz w:val="26"/>
          <w:szCs w:val="26"/>
        </w:rPr>
        <w:t xml:space="preserve">“para determinar a suspensão cautelar da eficácia da deliberação proferida pelo TCU prevista no Acórdão nº 2784/2016, até ulterior decisão definitiva no </w:t>
      </w:r>
      <w:r w:rsidR="00343D65" w:rsidRPr="00BC5030">
        <w:rPr>
          <w:rFonts w:ascii="Times New Roman" w:eastAsia="Times New Roman" w:hAnsi="Times New Roman"/>
          <w:b/>
          <w:bCs/>
          <w:i/>
          <w:iCs/>
          <w:sz w:val="26"/>
          <w:szCs w:val="26"/>
        </w:rPr>
        <w:t>mandamus</w:t>
      </w:r>
      <w:r w:rsidR="00343D65" w:rsidRPr="00A22C08">
        <w:rPr>
          <w:rFonts w:ascii="Times New Roman" w:eastAsia="Times New Roman" w:hAnsi="Times New Roman"/>
          <w:b/>
          <w:bCs/>
          <w:sz w:val="26"/>
          <w:szCs w:val="26"/>
        </w:rPr>
        <w:t>”.</w:t>
      </w:r>
    </w:p>
    <w:p w14:paraId="3DE48674" w14:textId="0306D2E8" w:rsidR="00343D65" w:rsidRDefault="00343D65" w:rsidP="16D0F8A3">
      <w:pPr>
        <w:spacing w:after="0" w:line="240" w:lineRule="auto"/>
        <w:ind w:firstLine="1701"/>
        <w:jc w:val="both"/>
        <w:rPr>
          <w:rFonts w:ascii="Times New Roman" w:eastAsia="Times New Roman" w:hAnsi="Times New Roman"/>
          <w:sz w:val="26"/>
          <w:szCs w:val="26"/>
        </w:rPr>
      </w:pPr>
    </w:p>
    <w:p w14:paraId="25ED934D" w14:textId="20DDB5DF" w:rsidR="00A22C08" w:rsidRDefault="00331403" w:rsidP="16D0F8A3">
      <w:pPr>
        <w:spacing w:after="0" w:line="240" w:lineRule="auto"/>
        <w:ind w:firstLine="1701"/>
        <w:jc w:val="both"/>
        <w:rPr>
          <w:rFonts w:ascii="Times New Roman" w:eastAsia="Times New Roman" w:hAnsi="Times New Roman"/>
          <w:sz w:val="26"/>
          <w:szCs w:val="26"/>
        </w:rPr>
      </w:pPr>
      <w:r>
        <w:rPr>
          <w:rFonts w:ascii="Times New Roman" w:eastAsia="Times New Roman" w:hAnsi="Times New Roman"/>
          <w:sz w:val="26"/>
          <w:szCs w:val="26"/>
        </w:rPr>
        <w:t>Tem-se, portanto,</w:t>
      </w:r>
      <w:r w:rsidR="00343D65">
        <w:rPr>
          <w:rFonts w:ascii="Times New Roman" w:eastAsia="Times New Roman" w:hAnsi="Times New Roman"/>
          <w:sz w:val="26"/>
          <w:szCs w:val="26"/>
        </w:rPr>
        <w:t xml:space="preserve"> decisão</w:t>
      </w:r>
      <w:r>
        <w:rPr>
          <w:rFonts w:ascii="Times New Roman" w:eastAsia="Times New Roman" w:hAnsi="Times New Roman"/>
          <w:sz w:val="26"/>
          <w:szCs w:val="26"/>
        </w:rPr>
        <w:t xml:space="preserve"> judicial</w:t>
      </w:r>
      <w:r w:rsidR="00343D65">
        <w:rPr>
          <w:rFonts w:ascii="Times New Roman" w:eastAsia="Times New Roman" w:hAnsi="Times New Roman"/>
          <w:sz w:val="26"/>
          <w:szCs w:val="26"/>
        </w:rPr>
        <w:t xml:space="preserve"> proferida no AI </w:t>
      </w:r>
      <w:r w:rsidR="00343D65" w:rsidRPr="00343D65">
        <w:rPr>
          <w:rFonts w:ascii="Times New Roman" w:eastAsia="Times New Roman" w:hAnsi="Times New Roman"/>
          <w:sz w:val="26"/>
          <w:szCs w:val="26"/>
        </w:rPr>
        <w:t>nº 0003266-07.2017.4.02.0000</w:t>
      </w:r>
      <w:r>
        <w:rPr>
          <w:rFonts w:ascii="Times New Roman" w:eastAsia="Times New Roman" w:hAnsi="Times New Roman"/>
          <w:sz w:val="26"/>
          <w:szCs w:val="26"/>
        </w:rPr>
        <w:t xml:space="preserve">, que </w:t>
      </w:r>
      <w:r w:rsidRPr="00BC5030">
        <w:rPr>
          <w:rFonts w:ascii="Times New Roman" w:eastAsia="Times New Roman" w:hAnsi="Times New Roman"/>
          <w:b/>
          <w:bCs/>
          <w:sz w:val="26"/>
          <w:szCs w:val="26"/>
          <w:u w:val="single"/>
        </w:rPr>
        <w:t>suspende a eficácia do Acórdão nº 2784/2016</w:t>
      </w:r>
      <w:r>
        <w:rPr>
          <w:rFonts w:ascii="Times New Roman" w:eastAsia="Times New Roman" w:hAnsi="Times New Roman"/>
          <w:sz w:val="26"/>
          <w:szCs w:val="26"/>
        </w:rPr>
        <w:t xml:space="preserve"> até que sobrevenha decisão definitiva no Mandado de Segurança coletivo, o que ainda não ocorreu, pois </w:t>
      </w:r>
      <w:r w:rsidR="00563BF2">
        <w:rPr>
          <w:rFonts w:ascii="Times New Roman" w:eastAsia="Times New Roman" w:hAnsi="Times New Roman"/>
          <w:sz w:val="26"/>
          <w:szCs w:val="26"/>
        </w:rPr>
        <w:t xml:space="preserve">neste aguarda-se julgamento dos EDs interpostos pela União no </w:t>
      </w:r>
      <w:r w:rsidR="00563BF2" w:rsidRPr="00563BF2">
        <w:rPr>
          <w:rFonts w:ascii="Times New Roman" w:eastAsia="Times New Roman" w:hAnsi="Times New Roman"/>
          <w:sz w:val="26"/>
          <w:szCs w:val="26"/>
        </w:rPr>
        <w:t>AREsp nº 1602146</w:t>
      </w:r>
      <w:r w:rsidR="007A2DB9">
        <w:rPr>
          <w:rFonts w:ascii="Times New Roman" w:eastAsia="Times New Roman" w:hAnsi="Times New Roman"/>
          <w:sz w:val="26"/>
          <w:szCs w:val="26"/>
        </w:rPr>
        <w:t>.</w:t>
      </w:r>
      <w:r w:rsidR="008B4324">
        <w:rPr>
          <w:rFonts w:ascii="Times New Roman" w:eastAsia="Times New Roman" w:hAnsi="Times New Roman"/>
          <w:sz w:val="26"/>
          <w:szCs w:val="26"/>
        </w:rPr>
        <w:t xml:space="preserve"> </w:t>
      </w:r>
      <w:r w:rsidR="00901C29">
        <w:rPr>
          <w:rFonts w:ascii="Times New Roman" w:eastAsia="Times New Roman" w:hAnsi="Times New Roman"/>
          <w:sz w:val="26"/>
          <w:szCs w:val="26"/>
        </w:rPr>
        <w:t>É exatamente</w:t>
      </w:r>
      <w:r w:rsidR="004A68D1">
        <w:rPr>
          <w:rFonts w:ascii="Times New Roman" w:eastAsia="Times New Roman" w:hAnsi="Times New Roman"/>
          <w:sz w:val="26"/>
          <w:szCs w:val="26"/>
        </w:rPr>
        <w:t xml:space="preserve"> o Acórdão 2784</w:t>
      </w:r>
      <w:r w:rsidR="00901C29">
        <w:rPr>
          <w:rFonts w:ascii="Times New Roman" w:eastAsia="Times New Roman" w:hAnsi="Times New Roman"/>
          <w:sz w:val="26"/>
          <w:szCs w:val="26"/>
        </w:rPr>
        <w:t>/2016, do TCU, o invocado pela Corte de Contas para instar o TRF2 a apurar os supostos indícios de irregularidade</w:t>
      </w:r>
      <w:r w:rsidR="00160B82">
        <w:rPr>
          <w:rFonts w:ascii="Times New Roman" w:eastAsia="Times New Roman" w:hAnsi="Times New Roman"/>
          <w:sz w:val="26"/>
          <w:szCs w:val="26"/>
        </w:rPr>
        <w:t>, ou seja, o acórdão cuja eficácia foi suspensa por decisão judicial quanto aos filiados do Sisejufe!</w:t>
      </w:r>
    </w:p>
    <w:p w14:paraId="68B8A28A" w14:textId="77777777" w:rsidR="00A22C08" w:rsidRDefault="00A22C08" w:rsidP="16D0F8A3">
      <w:pPr>
        <w:spacing w:after="0" w:line="240" w:lineRule="auto"/>
        <w:ind w:firstLine="1701"/>
        <w:jc w:val="both"/>
        <w:rPr>
          <w:rFonts w:ascii="Times New Roman" w:eastAsia="Times New Roman" w:hAnsi="Times New Roman"/>
          <w:sz w:val="26"/>
          <w:szCs w:val="26"/>
        </w:rPr>
      </w:pPr>
    </w:p>
    <w:p w14:paraId="4CBFBC92" w14:textId="0DB63372" w:rsidR="00E81C99" w:rsidRPr="00C22174" w:rsidRDefault="00A22C08" w:rsidP="00A22C08">
      <w:pPr>
        <w:spacing w:after="0" w:line="240" w:lineRule="auto"/>
        <w:ind w:firstLine="1701"/>
        <w:jc w:val="both"/>
        <w:rPr>
          <w:rFonts w:ascii="Times New Roman" w:eastAsia="Times New Roman" w:hAnsi="Times New Roman"/>
          <w:sz w:val="26"/>
          <w:szCs w:val="26"/>
        </w:rPr>
      </w:pPr>
      <w:r>
        <w:rPr>
          <w:rFonts w:ascii="Times New Roman" w:eastAsia="Times New Roman" w:hAnsi="Times New Roman"/>
          <w:sz w:val="26"/>
          <w:szCs w:val="26"/>
        </w:rPr>
        <w:t xml:space="preserve">Bastaria, portanto, a decisão proferida no AI nº </w:t>
      </w:r>
      <w:r w:rsidRPr="00A22C08">
        <w:rPr>
          <w:rFonts w:ascii="Times New Roman" w:eastAsia="Times New Roman" w:hAnsi="Times New Roman"/>
          <w:sz w:val="26"/>
          <w:szCs w:val="26"/>
        </w:rPr>
        <w:t>0003266-07.2017.4.02.0000</w:t>
      </w:r>
      <w:r>
        <w:rPr>
          <w:rFonts w:ascii="Times New Roman" w:eastAsia="Times New Roman" w:hAnsi="Times New Roman"/>
          <w:sz w:val="26"/>
          <w:szCs w:val="26"/>
        </w:rPr>
        <w:t xml:space="preserve"> para impedir qualquer tentativa desse Tribunal e mesmo do </w:t>
      </w:r>
      <w:r w:rsidR="007A2DB9">
        <w:rPr>
          <w:rFonts w:ascii="Times New Roman" w:eastAsia="Times New Roman" w:hAnsi="Times New Roman"/>
          <w:sz w:val="26"/>
          <w:szCs w:val="26"/>
        </w:rPr>
        <w:t xml:space="preserve">TCU, de efetuar qualquer corte da GAE ou da VPNI </w:t>
      </w:r>
      <w:r w:rsidR="001A65AF">
        <w:rPr>
          <w:rFonts w:ascii="Times New Roman" w:eastAsia="Times New Roman" w:hAnsi="Times New Roman"/>
          <w:sz w:val="26"/>
          <w:szCs w:val="26"/>
        </w:rPr>
        <w:t>dos servidores filiados ao Sisejufe,</w:t>
      </w:r>
      <w:r w:rsidR="006071D0">
        <w:rPr>
          <w:rFonts w:ascii="Times New Roman" w:eastAsia="Times New Roman" w:hAnsi="Times New Roman"/>
          <w:sz w:val="26"/>
          <w:szCs w:val="26"/>
        </w:rPr>
        <w:t xml:space="preserve"> com fundamento no Acórdão 2784/2016 do TCU,</w:t>
      </w:r>
      <w:r w:rsidR="001A65AF">
        <w:rPr>
          <w:rFonts w:ascii="Times New Roman" w:eastAsia="Times New Roman" w:hAnsi="Times New Roman"/>
          <w:sz w:val="26"/>
          <w:szCs w:val="26"/>
        </w:rPr>
        <w:t xml:space="preserve"> enquanto não proferida decisão </w:t>
      </w:r>
      <w:r w:rsidR="004B076B">
        <w:rPr>
          <w:rFonts w:ascii="Times New Roman" w:eastAsia="Times New Roman" w:hAnsi="Times New Roman"/>
          <w:sz w:val="26"/>
          <w:szCs w:val="26"/>
        </w:rPr>
        <w:t xml:space="preserve">definitiva no MS nº </w:t>
      </w:r>
      <w:r w:rsidR="004B076B" w:rsidRPr="004B076B">
        <w:rPr>
          <w:rFonts w:ascii="Times New Roman" w:eastAsia="Times New Roman" w:hAnsi="Times New Roman"/>
          <w:sz w:val="26"/>
          <w:szCs w:val="26"/>
        </w:rPr>
        <w:t>0098714-30.2017.4.02.5101</w:t>
      </w:r>
      <w:r w:rsidR="004B076B">
        <w:rPr>
          <w:rFonts w:ascii="Times New Roman" w:eastAsia="Times New Roman" w:hAnsi="Times New Roman"/>
          <w:sz w:val="26"/>
          <w:szCs w:val="26"/>
        </w:rPr>
        <w:t>. Contudo, além da decisão proferida no AI, tem-se as decisões proferida pela 5ª Turma no Mandado de Segurança Coletivo, tanto no julgamento da apelação quanto nos embargos declaratórios interpostos em face dessa</w:t>
      </w:r>
      <w:r w:rsidR="004D0069">
        <w:rPr>
          <w:rFonts w:ascii="Times New Roman" w:eastAsia="Times New Roman" w:hAnsi="Times New Roman"/>
          <w:sz w:val="26"/>
          <w:szCs w:val="26"/>
        </w:rPr>
        <w:t xml:space="preserve">, pelas quais foi concedida a </w:t>
      </w:r>
      <w:r w:rsidR="000C52E6">
        <w:rPr>
          <w:rFonts w:ascii="Times New Roman" w:eastAsia="Times New Roman" w:hAnsi="Times New Roman"/>
          <w:sz w:val="26"/>
          <w:szCs w:val="26"/>
        </w:rPr>
        <w:t>antecipação</w:t>
      </w:r>
      <w:r w:rsidR="004D0069">
        <w:rPr>
          <w:rFonts w:ascii="Times New Roman" w:eastAsia="Times New Roman" w:hAnsi="Times New Roman"/>
          <w:sz w:val="26"/>
          <w:szCs w:val="26"/>
        </w:rPr>
        <w:t xml:space="preserve"> pleiteada no </w:t>
      </w:r>
      <w:r w:rsidR="004D0069">
        <w:rPr>
          <w:rFonts w:ascii="Times New Roman" w:eastAsia="Times New Roman" w:hAnsi="Times New Roman"/>
          <w:i/>
          <w:iCs/>
          <w:sz w:val="26"/>
          <w:szCs w:val="26"/>
        </w:rPr>
        <w:t>mandamu</w:t>
      </w:r>
      <w:r w:rsidR="00C22174">
        <w:rPr>
          <w:rFonts w:ascii="Times New Roman" w:eastAsia="Times New Roman" w:hAnsi="Times New Roman"/>
          <w:i/>
          <w:iCs/>
          <w:sz w:val="26"/>
          <w:szCs w:val="26"/>
        </w:rPr>
        <w:t>s</w:t>
      </w:r>
      <w:r w:rsidR="000C52E6">
        <w:rPr>
          <w:rFonts w:ascii="Times New Roman" w:eastAsia="Times New Roman" w:hAnsi="Times New Roman"/>
          <w:i/>
          <w:iCs/>
          <w:sz w:val="26"/>
          <w:szCs w:val="26"/>
        </w:rPr>
        <w:t>.</w:t>
      </w:r>
      <w:r w:rsidR="000C52E6">
        <w:rPr>
          <w:rFonts w:ascii="Times New Roman" w:eastAsia="Times New Roman" w:hAnsi="Times New Roman"/>
          <w:sz w:val="26"/>
          <w:szCs w:val="26"/>
        </w:rPr>
        <w:t xml:space="preserve"> </w:t>
      </w:r>
      <w:r w:rsidR="005E0000">
        <w:rPr>
          <w:rFonts w:ascii="Times New Roman" w:eastAsia="Times New Roman" w:hAnsi="Times New Roman"/>
          <w:sz w:val="26"/>
          <w:szCs w:val="26"/>
        </w:rPr>
        <w:t xml:space="preserve">Ainda, como nenhum dos recursos interpostos pela União obteve êxito, </w:t>
      </w:r>
      <w:r w:rsidR="002762FA">
        <w:rPr>
          <w:rFonts w:ascii="Times New Roman" w:eastAsia="Times New Roman" w:hAnsi="Times New Roman"/>
          <w:sz w:val="26"/>
          <w:szCs w:val="26"/>
        </w:rPr>
        <w:t>a decisão concessiva da segurança deve, em breve, tornar-se definitiva.</w:t>
      </w:r>
    </w:p>
    <w:p w14:paraId="30D04DA8" w14:textId="77777777" w:rsidR="00E81C99" w:rsidRDefault="00E81C99" w:rsidP="00A22C08">
      <w:pPr>
        <w:spacing w:after="0" w:line="240" w:lineRule="auto"/>
        <w:ind w:firstLine="1701"/>
        <w:jc w:val="both"/>
        <w:rPr>
          <w:rFonts w:ascii="Times New Roman" w:eastAsia="Times New Roman" w:hAnsi="Times New Roman"/>
          <w:i/>
          <w:iCs/>
          <w:sz w:val="26"/>
          <w:szCs w:val="26"/>
        </w:rPr>
      </w:pPr>
    </w:p>
    <w:p w14:paraId="37D5BBB0" w14:textId="3BB48DA9" w:rsidR="00343D65" w:rsidRPr="00E01E1A" w:rsidRDefault="002762FA" w:rsidP="00A22C08">
      <w:pPr>
        <w:spacing w:after="0" w:line="240" w:lineRule="auto"/>
        <w:ind w:firstLine="1701"/>
        <w:jc w:val="both"/>
        <w:rPr>
          <w:rFonts w:ascii="Times New Roman" w:eastAsia="Times New Roman" w:hAnsi="Times New Roman"/>
          <w:sz w:val="26"/>
          <w:szCs w:val="26"/>
        </w:rPr>
      </w:pPr>
      <w:r>
        <w:rPr>
          <w:rFonts w:ascii="Times New Roman" w:eastAsia="Times New Roman" w:hAnsi="Times New Roman"/>
          <w:sz w:val="26"/>
          <w:szCs w:val="26"/>
        </w:rPr>
        <w:t>As</w:t>
      </w:r>
      <w:r w:rsidR="00E81C99">
        <w:rPr>
          <w:rFonts w:ascii="Times New Roman" w:eastAsia="Times New Roman" w:hAnsi="Times New Roman"/>
          <w:sz w:val="26"/>
          <w:szCs w:val="26"/>
        </w:rPr>
        <w:t xml:space="preserve"> notificações de agora e qualquer tentativa de efetuar o corte de uma das parcelas, portanto, violam a decisão judicial proferida no </w:t>
      </w:r>
      <w:r w:rsidR="004D0069">
        <w:rPr>
          <w:rFonts w:ascii="Times New Roman" w:eastAsia="Times New Roman" w:hAnsi="Times New Roman"/>
          <w:sz w:val="26"/>
          <w:szCs w:val="26"/>
        </w:rPr>
        <w:t xml:space="preserve"> </w:t>
      </w:r>
      <w:r w:rsidR="00E81C99" w:rsidRPr="00E81C99">
        <w:rPr>
          <w:rFonts w:ascii="Times New Roman" w:eastAsia="Times New Roman" w:hAnsi="Times New Roman"/>
          <w:sz w:val="26"/>
          <w:szCs w:val="26"/>
        </w:rPr>
        <w:t>AI nº 0003266-07.2017.4.02.0000</w:t>
      </w:r>
      <w:r w:rsidR="00E81C99">
        <w:rPr>
          <w:rFonts w:ascii="Times New Roman" w:eastAsia="Times New Roman" w:hAnsi="Times New Roman"/>
          <w:sz w:val="26"/>
          <w:szCs w:val="26"/>
        </w:rPr>
        <w:t xml:space="preserve"> e as decisões proferidas pela 5ª Turma Especializada no MS nº </w:t>
      </w:r>
      <w:r w:rsidR="00E81C99" w:rsidRPr="00E81C99">
        <w:rPr>
          <w:rFonts w:ascii="Times New Roman" w:eastAsia="Times New Roman" w:hAnsi="Times New Roman"/>
          <w:sz w:val="26"/>
          <w:szCs w:val="26"/>
        </w:rPr>
        <w:t>0098714-30.2017.4.02.5101</w:t>
      </w:r>
      <w:r w:rsidR="00E81C99">
        <w:rPr>
          <w:rFonts w:ascii="Times New Roman" w:eastAsia="Times New Roman" w:hAnsi="Times New Roman"/>
          <w:sz w:val="26"/>
          <w:szCs w:val="26"/>
        </w:rPr>
        <w:t xml:space="preserve">, decisões essas plenamente executáveis, vez </w:t>
      </w:r>
      <w:r w:rsidR="006E2987">
        <w:rPr>
          <w:rFonts w:ascii="Times New Roman" w:eastAsia="Times New Roman" w:hAnsi="Times New Roman"/>
          <w:sz w:val="26"/>
          <w:szCs w:val="26"/>
        </w:rPr>
        <w:t xml:space="preserve">que o recurso da União, pendente de julgamento, não possui efeito suspensivo. </w:t>
      </w:r>
    </w:p>
    <w:p w14:paraId="40E48DF5" w14:textId="1B26CF77" w:rsidR="0052566B" w:rsidRDefault="0052566B" w:rsidP="16D0F8A3">
      <w:pPr>
        <w:spacing w:after="0" w:line="240" w:lineRule="auto"/>
        <w:ind w:firstLine="1701"/>
        <w:jc w:val="both"/>
        <w:rPr>
          <w:rFonts w:ascii="Times New Roman" w:eastAsia="Times New Roman" w:hAnsi="Times New Roman"/>
          <w:sz w:val="26"/>
          <w:szCs w:val="26"/>
        </w:rPr>
      </w:pPr>
    </w:p>
    <w:p w14:paraId="180B836A" w14:textId="3716BC5B" w:rsidR="0D1069A5" w:rsidRDefault="5AB4209A" w:rsidP="373D5F8C">
      <w:pPr>
        <w:spacing w:after="0" w:line="240" w:lineRule="auto"/>
        <w:ind w:firstLine="1701"/>
        <w:jc w:val="both"/>
        <w:rPr>
          <w:rFonts w:ascii="Times New Roman" w:eastAsia="Times New Roman" w:hAnsi="Times New Roman"/>
          <w:sz w:val="26"/>
          <w:szCs w:val="26"/>
        </w:rPr>
      </w:pPr>
      <w:r w:rsidRPr="373D5F8C">
        <w:rPr>
          <w:rFonts w:ascii="Times New Roman" w:eastAsia="Times New Roman" w:hAnsi="Times New Roman"/>
          <w:sz w:val="26"/>
          <w:szCs w:val="26"/>
        </w:rPr>
        <w:lastRenderedPageBreak/>
        <w:t>Destaca-se</w:t>
      </w:r>
      <w:r w:rsidR="00D86C3F">
        <w:rPr>
          <w:rFonts w:ascii="Times New Roman" w:eastAsia="Times New Roman" w:hAnsi="Times New Roman"/>
          <w:sz w:val="26"/>
          <w:szCs w:val="26"/>
        </w:rPr>
        <w:t>,</w:t>
      </w:r>
      <w:r w:rsidRPr="373D5F8C">
        <w:rPr>
          <w:rFonts w:ascii="Times New Roman" w:eastAsia="Times New Roman" w:hAnsi="Times New Roman"/>
          <w:sz w:val="26"/>
          <w:szCs w:val="26"/>
        </w:rPr>
        <w:t xml:space="preserve"> </w:t>
      </w:r>
      <w:r w:rsidR="485B4ADE" w:rsidRPr="373D5F8C">
        <w:rPr>
          <w:rFonts w:ascii="Times New Roman" w:eastAsia="Times New Roman" w:hAnsi="Times New Roman"/>
          <w:sz w:val="26"/>
          <w:szCs w:val="26"/>
        </w:rPr>
        <w:t>novamente</w:t>
      </w:r>
      <w:r w:rsidR="00D86C3F">
        <w:rPr>
          <w:rFonts w:ascii="Times New Roman" w:eastAsia="Times New Roman" w:hAnsi="Times New Roman"/>
          <w:sz w:val="26"/>
          <w:szCs w:val="26"/>
        </w:rPr>
        <w:t>,</w:t>
      </w:r>
      <w:r w:rsidR="485B4ADE" w:rsidRPr="373D5F8C">
        <w:rPr>
          <w:rFonts w:ascii="Times New Roman" w:eastAsia="Times New Roman" w:hAnsi="Times New Roman"/>
          <w:sz w:val="26"/>
          <w:szCs w:val="26"/>
        </w:rPr>
        <w:t xml:space="preserve"> </w:t>
      </w:r>
      <w:r w:rsidRPr="373D5F8C">
        <w:rPr>
          <w:rFonts w:ascii="Times New Roman" w:eastAsia="Times New Roman" w:hAnsi="Times New Roman"/>
          <w:sz w:val="26"/>
          <w:szCs w:val="26"/>
        </w:rPr>
        <w:t xml:space="preserve">que o acórdão em comento </w:t>
      </w:r>
      <w:r w:rsidR="0CE29452" w:rsidRPr="373D5F8C">
        <w:rPr>
          <w:rFonts w:ascii="Times New Roman" w:eastAsia="Times New Roman" w:hAnsi="Times New Roman"/>
          <w:sz w:val="26"/>
          <w:szCs w:val="26"/>
        </w:rPr>
        <w:t>se aplica</w:t>
      </w:r>
      <w:r w:rsidRPr="373D5F8C">
        <w:rPr>
          <w:rFonts w:ascii="Times New Roman" w:eastAsia="Times New Roman" w:hAnsi="Times New Roman"/>
          <w:sz w:val="26"/>
          <w:szCs w:val="26"/>
        </w:rPr>
        <w:t xml:space="preserve"> no todo da controvérsia que envolve o arguente, de maneira que os </w:t>
      </w:r>
      <w:r w:rsidR="002C5A42">
        <w:rPr>
          <w:rFonts w:ascii="Times New Roman" w:eastAsia="Times New Roman" w:hAnsi="Times New Roman"/>
          <w:sz w:val="26"/>
          <w:szCs w:val="26"/>
        </w:rPr>
        <w:t xml:space="preserve">demais </w:t>
      </w:r>
      <w:r w:rsidRPr="373D5F8C">
        <w:rPr>
          <w:rFonts w:ascii="Times New Roman" w:eastAsia="Times New Roman" w:hAnsi="Times New Roman"/>
          <w:sz w:val="26"/>
          <w:szCs w:val="26"/>
        </w:rPr>
        <w:t xml:space="preserve">fundamentos contidos nesta defesa se tornam subsidiários, visto que já se encontra resolvida a problemática no âmbito desta Seção Judiciária/Tribunal, por decisão judicial </w:t>
      </w:r>
      <w:r w:rsidR="151DA9E9" w:rsidRPr="373D5F8C">
        <w:rPr>
          <w:rFonts w:ascii="Times New Roman" w:eastAsia="Times New Roman" w:hAnsi="Times New Roman"/>
          <w:sz w:val="26"/>
          <w:szCs w:val="26"/>
        </w:rPr>
        <w:t xml:space="preserve">prestes a transitar </w:t>
      </w:r>
      <w:r w:rsidRPr="373D5F8C">
        <w:rPr>
          <w:rFonts w:ascii="Times New Roman" w:eastAsia="Times New Roman" w:hAnsi="Times New Roman"/>
          <w:sz w:val="26"/>
          <w:szCs w:val="26"/>
        </w:rPr>
        <w:t xml:space="preserve">em julgado, </w:t>
      </w:r>
      <w:r w:rsidR="00FC46A2">
        <w:rPr>
          <w:rFonts w:ascii="Times New Roman" w:eastAsia="Times New Roman" w:hAnsi="Times New Roman"/>
          <w:sz w:val="26"/>
          <w:szCs w:val="26"/>
        </w:rPr>
        <w:t xml:space="preserve">que não poderá ser descumprida por esse Tribunal. </w:t>
      </w:r>
    </w:p>
    <w:p w14:paraId="57C42907" w14:textId="4A463D1C" w:rsidR="0D1069A5" w:rsidRDefault="0D1069A5" w:rsidP="16D0F8A3">
      <w:pPr>
        <w:spacing w:after="0" w:line="240" w:lineRule="auto"/>
        <w:ind w:firstLine="1701"/>
        <w:jc w:val="both"/>
        <w:rPr>
          <w:rFonts w:ascii="Times New Roman" w:eastAsia="Times New Roman" w:hAnsi="Times New Roman"/>
          <w:sz w:val="26"/>
          <w:szCs w:val="26"/>
        </w:rPr>
      </w:pPr>
    </w:p>
    <w:p w14:paraId="44241DCA" w14:textId="3221C76C" w:rsidR="0D1069A5" w:rsidRDefault="5F37E8DA" w:rsidP="16D0F8A3">
      <w:pPr>
        <w:spacing w:after="0" w:line="240" w:lineRule="auto"/>
        <w:jc w:val="both"/>
        <w:rPr>
          <w:rFonts w:ascii="Times New Roman" w:eastAsia="Times New Roman" w:hAnsi="Times New Roman"/>
          <w:color w:val="000000" w:themeColor="text1"/>
          <w:sz w:val="26"/>
          <w:szCs w:val="26"/>
        </w:rPr>
      </w:pPr>
      <w:r w:rsidRPr="16D0F8A3">
        <w:rPr>
          <w:rFonts w:ascii="Times New Roman" w:eastAsia="Times New Roman" w:hAnsi="Times New Roman"/>
          <w:b/>
          <w:bCs/>
          <w:color w:val="000000" w:themeColor="text1"/>
          <w:sz w:val="26"/>
          <w:szCs w:val="26"/>
        </w:rPr>
        <w:t xml:space="preserve">2.2. </w:t>
      </w:r>
      <w:r w:rsidRPr="16D0F8A3">
        <w:rPr>
          <w:rFonts w:ascii="Times New Roman" w:eastAsia="Times New Roman" w:hAnsi="Times New Roman"/>
          <w:b/>
          <w:bCs/>
          <w:color w:val="000000" w:themeColor="text1"/>
          <w:sz w:val="26"/>
          <w:szCs w:val="26"/>
          <w:u w:val="single"/>
        </w:rPr>
        <w:t>Tribunal de Contas da União analisará a matéria em plenário no processo 036.450/2020-0 (representação) iniciada em outubro de 2020: ausência de justa causa para o corte remuneratório</w:t>
      </w:r>
    </w:p>
    <w:p w14:paraId="16482A36" w14:textId="756918F1" w:rsidR="0D1069A5" w:rsidRDefault="0D1069A5" w:rsidP="16D0F8A3">
      <w:pPr>
        <w:spacing w:after="0" w:line="240" w:lineRule="auto"/>
        <w:jc w:val="both"/>
        <w:rPr>
          <w:rFonts w:ascii="Times New Roman" w:eastAsia="Times New Roman" w:hAnsi="Times New Roman"/>
          <w:color w:val="000000" w:themeColor="text1"/>
          <w:sz w:val="26"/>
          <w:szCs w:val="26"/>
        </w:rPr>
      </w:pPr>
    </w:p>
    <w:p w14:paraId="59DB677D" w14:textId="5A5870BB" w:rsidR="0D1069A5" w:rsidRDefault="5F37E8DA" w:rsidP="16D0F8A3">
      <w:pPr>
        <w:spacing w:after="0" w:line="240" w:lineRule="auto"/>
        <w:ind w:firstLine="1701"/>
        <w:jc w:val="both"/>
        <w:rPr>
          <w:rFonts w:ascii="Times New Roman" w:eastAsia="Times New Roman" w:hAnsi="Times New Roman"/>
          <w:color w:val="000000" w:themeColor="text1"/>
          <w:sz w:val="26"/>
          <w:szCs w:val="26"/>
        </w:rPr>
      </w:pPr>
      <w:r w:rsidRPr="163427A8">
        <w:rPr>
          <w:rFonts w:ascii="Times New Roman" w:eastAsia="Times New Roman" w:hAnsi="Times New Roman"/>
          <w:color w:val="000000" w:themeColor="text1"/>
          <w:sz w:val="26"/>
          <w:szCs w:val="26"/>
        </w:rPr>
        <w:t>Em 15 de outubro de 2020, o Tribunal de Contas da União instaurou o processo nº 036.450/2020-0</w:t>
      </w:r>
      <w:r w:rsidR="0D1069A5" w:rsidRPr="163427A8">
        <w:rPr>
          <w:rStyle w:val="Refdenotaderodap"/>
          <w:rFonts w:ascii="Times New Roman" w:eastAsia="Times New Roman" w:hAnsi="Times New Roman"/>
          <w:color w:val="000000" w:themeColor="text1"/>
          <w:sz w:val="26"/>
          <w:szCs w:val="26"/>
        </w:rPr>
        <w:footnoteReference w:id="2"/>
      </w:r>
      <w:r w:rsidRPr="163427A8">
        <w:rPr>
          <w:rFonts w:ascii="Times New Roman" w:eastAsia="Times New Roman" w:hAnsi="Times New Roman"/>
          <w:color w:val="000000" w:themeColor="text1"/>
          <w:sz w:val="26"/>
          <w:szCs w:val="26"/>
        </w:rPr>
        <w:t xml:space="preserve"> (REPRESENTAÇÃO), distribuído à relatoria do Ministro RAIMUNDO CARREIRO, com o seguinte objeto:</w:t>
      </w:r>
    </w:p>
    <w:p w14:paraId="4E81C462" w14:textId="00A9F802" w:rsidR="0D1069A5" w:rsidRDefault="0D1069A5" w:rsidP="16D0F8A3">
      <w:pPr>
        <w:spacing w:after="0" w:line="240" w:lineRule="auto"/>
        <w:ind w:left="708" w:firstLine="1701"/>
        <w:jc w:val="both"/>
        <w:rPr>
          <w:rFonts w:ascii="Times New Roman" w:eastAsia="Times New Roman" w:hAnsi="Times New Roman"/>
          <w:color w:val="000000" w:themeColor="text1"/>
          <w:sz w:val="26"/>
          <w:szCs w:val="26"/>
        </w:rPr>
      </w:pPr>
    </w:p>
    <w:p w14:paraId="0906B11C" w14:textId="3F365A32" w:rsidR="0D1069A5" w:rsidRDefault="5F37E8DA"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Objeto do processo: Pessoal. Representação visando apurar possíveis irregularidades no pagamento cumulativo realizado por órgãos do Poder Judiciário, em benefício de Oficiais de Justiça ativos, inativos e aos pensionistas, da Gratificação de Atividade Externa juntamente com a parcela de quintos/décimos de função, transformado em Vantagem Pessoal Nominalmente Identificável (VPNI) pelo art. 62-A da Lei 8.112/1992, considerando o entendimento firmado pela jurisprudência deste TCU, a exemplo dos Acórdãos 2.784/2016-TCU-Plenário (Relator Ministro Benjamin Zymler), 9.800/2019-TCU-1ª Câmara (Relator Ministro-Substituto Marcos Bemquerer), 8.533/2019-TCU-1ª Câmara (Relator Ministro Walton Alencar Rodrigues), 4.994/2019-TCU-2ª Câmara (Relator Ministro André de Carvalho) e 4.523/2019-TCU-1ª Câmara (Relator Ministro Vital do Rêgo).</w:t>
      </w:r>
    </w:p>
    <w:p w14:paraId="7A0DD104" w14:textId="4E94FC2E" w:rsidR="0D1069A5" w:rsidRDefault="0D1069A5" w:rsidP="16D0F8A3">
      <w:pPr>
        <w:spacing w:after="0" w:line="240" w:lineRule="auto"/>
        <w:ind w:left="708" w:firstLine="1701"/>
        <w:jc w:val="both"/>
        <w:rPr>
          <w:rFonts w:ascii="Times New Roman" w:eastAsia="Times New Roman" w:hAnsi="Times New Roman"/>
          <w:color w:val="000000" w:themeColor="text1"/>
          <w:sz w:val="26"/>
          <w:szCs w:val="26"/>
        </w:rPr>
      </w:pPr>
    </w:p>
    <w:p w14:paraId="41E74FBD" w14:textId="725A597A" w:rsidR="0D1069A5" w:rsidRDefault="5F37E8DA" w:rsidP="16D0F8A3">
      <w:pPr>
        <w:spacing w:after="0" w:line="240" w:lineRule="auto"/>
        <w:ind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A representação reúne todos os tribunais e analisará o conjunto das realidades existentes. Em resumo, as dúvidas razoáveis, os impedimentos, as ausências de indícios de ilicitude ou sua confirmação, os relatórios de vários tribunais (a exemplo do TRT-4, TRT-17 e TRT-11) onde as autoridades administrativas concluíram pela inexistência dos referidos indícios, seja pela ocorrência de decadência ou demais elementos de mérito da incorporação, serão conjugados na representação aberta no TCU para análise de quais providências serão necessárias.</w:t>
      </w:r>
    </w:p>
    <w:p w14:paraId="6C97F834" w14:textId="048895D5"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38B273A9" w14:textId="1AD2EA62" w:rsidR="0D1069A5" w:rsidRDefault="5F37E8DA" w:rsidP="16D0F8A3">
      <w:pPr>
        <w:spacing w:after="0" w:line="240" w:lineRule="auto"/>
        <w:ind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Conforme o Regimento Interno do TCU, a representação está prevista no artigo 246, assim:</w:t>
      </w:r>
    </w:p>
    <w:p w14:paraId="7AC3C6C8" w14:textId="27510DF2" w:rsidR="0D1069A5" w:rsidRDefault="0D1069A5" w:rsidP="16D0F8A3">
      <w:pPr>
        <w:spacing w:after="0" w:line="240" w:lineRule="auto"/>
        <w:ind w:left="708" w:firstLine="1701"/>
        <w:jc w:val="both"/>
        <w:rPr>
          <w:rFonts w:ascii="Times New Roman" w:eastAsia="Times New Roman" w:hAnsi="Times New Roman"/>
          <w:color w:val="000000" w:themeColor="text1"/>
          <w:sz w:val="26"/>
          <w:szCs w:val="26"/>
        </w:rPr>
      </w:pPr>
    </w:p>
    <w:p w14:paraId="0776F415" w14:textId="4F4E25B8" w:rsidR="0D1069A5" w:rsidRDefault="5F37E8DA"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Art.  246.  no curso de fiscalização, se verificado procedimento de que possa resultar dano ao erário ou irregularidade grave, a equipe representará, desde logo, </w:t>
      </w:r>
      <w:r w:rsidRPr="16D0F8A3">
        <w:rPr>
          <w:rFonts w:ascii="Times New Roman" w:eastAsia="Times New Roman" w:hAnsi="Times New Roman"/>
          <w:color w:val="000000" w:themeColor="text1"/>
        </w:rPr>
        <w:lastRenderedPageBreak/>
        <w:t>com suporte em elementos concretos e convincentes, ao dirigente da unidade técnica, o qual submeterá a matéria ao respectivo relator, com parecer conclusivo.</w:t>
      </w:r>
    </w:p>
    <w:p w14:paraId="0881E5CC" w14:textId="6BFC0DDC"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6473F4E5" w14:textId="285E6A6A" w:rsidR="0D1069A5" w:rsidRDefault="2F06F90E" w:rsidP="16D0F8A3">
      <w:pPr>
        <w:spacing w:after="0" w:line="240" w:lineRule="auto"/>
        <w:ind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O primeiro processo específico, em que o tema será tratado pelo TCU é</w:t>
      </w:r>
      <w:r w:rsidR="00AB1555">
        <w:rPr>
          <w:rFonts w:ascii="Times New Roman" w:eastAsia="Times New Roman" w:hAnsi="Times New Roman"/>
          <w:color w:val="000000" w:themeColor="text1"/>
          <w:sz w:val="26"/>
          <w:szCs w:val="26"/>
        </w:rPr>
        <w:t>, portanto,</w:t>
      </w:r>
      <w:r w:rsidRPr="16D0F8A3">
        <w:rPr>
          <w:rFonts w:ascii="Times New Roman" w:eastAsia="Times New Roman" w:hAnsi="Times New Roman"/>
          <w:color w:val="000000" w:themeColor="text1"/>
          <w:sz w:val="26"/>
          <w:szCs w:val="26"/>
        </w:rPr>
        <w:t xml:space="preserve"> a representação em andamento e apenas dela pode emanar ordem executória de procedimento a ser adotado pelas autoridades envolvidas, sem prejuízo da interposição – com efeito suspensivo - de </w:t>
      </w:r>
      <w:r w:rsidRPr="16D0F8A3">
        <w:rPr>
          <w:rFonts w:ascii="Times New Roman" w:eastAsia="Times New Roman" w:hAnsi="Times New Roman"/>
          <w:b/>
          <w:bCs/>
          <w:color w:val="000000" w:themeColor="text1"/>
          <w:sz w:val="26"/>
          <w:szCs w:val="26"/>
        </w:rPr>
        <w:t>pedido de reexame</w:t>
      </w:r>
      <w:r w:rsidRPr="16D0F8A3">
        <w:rPr>
          <w:rFonts w:ascii="Times New Roman" w:eastAsia="Times New Roman" w:hAnsi="Times New Roman"/>
          <w:color w:val="000000" w:themeColor="text1"/>
          <w:sz w:val="26"/>
          <w:szCs w:val="26"/>
        </w:rPr>
        <w:t xml:space="preserve"> (prazo de 15 dias) e </w:t>
      </w:r>
      <w:r w:rsidRPr="16D0F8A3">
        <w:rPr>
          <w:rFonts w:ascii="Times New Roman" w:eastAsia="Times New Roman" w:hAnsi="Times New Roman"/>
          <w:b/>
          <w:bCs/>
          <w:color w:val="000000" w:themeColor="text1"/>
          <w:sz w:val="26"/>
          <w:szCs w:val="26"/>
        </w:rPr>
        <w:t>embargos de declaração</w:t>
      </w:r>
      <w:r w:rsidRPr="16D0F8A3">
        <w:rPr>
          <w:rFonts w:ascii="Times New Roman" w:eastAsia="Times New Roman" w:hAnsi="Times New Roman"/>
          <w:color w:val="000000" w:themeColor="text1"/>
          <w:sz w:val="26"/>
          <w:szCs w:val="26"/>
        </w:rPr>
        <w:t xml:space="preserve"> (prazo de 10 dias) (prerrogativa que cada órgão fiscalizado tem, conforme artigos 286 e 287 do RITCU).</w:t>
      </w:r>
    </w:p>
    <w:p w14:paraId="75353689" w14:textId="06B48CBA"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79457665" w14:textId="485F9C7F" w:rsidR="0D1069A5" w:rsidRDefault="2F06F90E" w:rsidP="16D0F8A3">
      <w:pPr>
        <w:spacing w:after="0" w:line="240" w:lineRule="auto"/>
        <w:ind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Logo, a definição de como os órgãos públicos envolvidos (tribunais) devem proceder ainda será tomada em acórdão plenário, daí não serem adequadas </w:t>
      </w:r>
      <w:r w:rsidR="002C15C9">
        <w:rPr>
          <w:rFonts w:ascii="Times New Roman" w:eastAsia="Times New Roman" w:hAnsi="Times New Roman"/>
          <w:color w:val="000000" w:themeColor="text1"/>
          <w:sz w:val="26"/>
          <w:szCs w:val="26"/>
        </w:rPr>
        <w:t xml:space="preserve">quaisquer </w:t>
      </w:r>
      <w:r w:rsidRPr="16D0F8A3">
        <w:rPr>
          <w:rFonts w:ascii="Times New Roman" w:eastAsia="Times New Roman" w:hAnsi="Times New Roman"/>
          <w:color w:val="000000" w:themeColor="text1"/>
          <w:sz w:val="26"/>
          <w:szCs w:val="26"/>
        </w:rPr>
        <w:t>medidas graves como corte remuneratório antes da posição final do TCU</w:t>
      </w:r>
      <w:r w:rsidR="002C15C9">
        <w:rPr>
          <w:rFonts w:ascii="Times New Roman" w:eastAsia="Times New Roman" w:hAnsi="Times New Roman"/>
          <w:color w:val="000000" w:themeColor="text1"/>
          <w:sz w:val="26"/>
          <w:szCs w:val="26"/>
        </w:rPr>
        <w:t xml:space="preserve">, vez que o Acórdão </w:t>
      </w:r>
      <w:r w:rsidR="00B130B0">
        <w:rPr>
          <w:rFonts w:ascii="Times New Roman" w:eastAsia="Times New Roman" w:hAnsi="Times New Roman"/>
          <w:color w:val="000000" w:themeColor="text1"/>
          <w:sz w:val="26"/>
          <w:szCs w:val="26"/>
        </w:rPr>
        <w:t xml:space="preserve">2784/2016 não possuía qualquer efeito vinculante, conforme aliás, restou consignado na decisão do MS Coletivo nº </w:t>
      </w:r>
      <w:r w:rsidR="00987FFD" w:rsidRPr="00987FFD">
        <w:rPr>
          <w:rFonts w:ascii="Times New Roman" w:eastAsia="Times New Roman" w:hAnsi="Times New Roman"/>
          <w:color w:val="000000" w:themeColor="text1"/>
          <w:sz w:val="26"/>
          <w:szCs w:val="26"/>
        </w:rPr>
        <w:t>0098714-30.2017.4.02.5101</w:t>
      </w:r>
      <w:r w:rsidR="001A02B3">
        <w:rPr>
          <w:rFonts w:ascii="Times New Roman" w:eastAsia="Times New Roman" w:hAnsi="Times New Roman"/>
          <w:color w:val="000000" w:themeColor="text1"/>
          <w:sz w:val="26"/>
          <w:szCs w:val="26"/>
        </w:rPr>
        <w:t>.</w:t>
      </w:r>
    </w:p>
    <w:p w14:paraId="458E479D" w14:textId="374BD8E9" w:rsidR="0D1069A5" w:rsidRDefault="0D1069A5" w:rsidP="16D0F8A3">
      <w:pPr>
        <w:spacing w:after="0" w:line="240" w:lineRule="auto"/>
        <w:jc w:val="both"/>
        <w:rPr>
          <w:rFonts w:ascii="Times New Roman" w:eastAsia="Times New Roman" w:hAnsi="Times New Roman"/>
          <w:color w:val="000000" w:themeColor="text1"/>
          <w:sz w:val="26"/>
          <w:szCs w:val="26"/>
        </w:rPr>
      </w:pPr>
    </w:p>
    <w:p w14:paraId="0546E921" w14:textId="623FDF28" w:rsidR="0D1069A5" w:rsidRDefault="5CD44550" w:rsidP="16D0F8A3">
      <w:pPr>
        <w:spacing w:after="0" w:line="240" w:lineRule="auto"/>
        <w:jc w:val="both"/>
        <w:rPr>
          <w:rFonts w:ascii="Times New Roman" w:eastAsia="Times New Roman" w:hAnsi="Times New Roman"/>
          <w:color w:val="000000" w:themeColor="text1"/>
          <w:sz w:val="26"/>
          <w:szCs w:val="26"/>
        </w:rPr>
      </w:pPr>
      <w:r w:rsidRPr="16D0F8A3">
        <w:rPr>
          <w:rFonts w:ascii="Times New Roman" w:eastAsia="Times New Roman" w:hAnsi="Times New Roman"/>
          <w:b/>
          <w:bCs/>
          <w:color w:val="000000" w:themeColor="text1"/>
          <w:sz w:val="26"/>
          <w:szCs w:val="26"/>
        </w:rPr>
        <w:t xml:space="preserve">2.3. </w:t>
      </w:r>
      <w:r w:rsidRPr="16D0F8A3">
        <w:rPr>
          <w:rFonts w:ascii="Times New Roman" w:eastAsia="Times New Roman" w:hAnsi="Times New Roman"/>
          <w:b/>
          <w:bCs/>
          <w:color w:val="000000" w:themeColor="text1"/>
          <w:sz w:val="26"/>
          <w:szCs w:val="26"/>
          <w:u w:val="single"/>
        </w:rPr>
        <w:t>Da decadência administrativa: parcela incorporada há 20 anos e percebida com a GAE há 12 anos</w:t>
      </w:r>
    </w:p>
    <w:p w14:paraId="1A8B044D" w14:textId="65EAC172" w:rsidR="0D1069A5" w:rsidRDefault="5CD44550" w:rsidP="16D0F8A3">
      <w:pPr>
        <w:spacing w:after="0" w:line="240" w:lineRule="auto"/>
        <w:ind w:right="150"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62FAAE48" w14:textId="2997362F" w:rsidR="0D1069A5" w:rsidRDefault="5CD44550" w:rsidP="16D0F8A3">
      <w:pPr>
        <w:spacing w:after="0" w:line="240" w:lineRule="auto"/>
        <w:ind w:right="150"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No presente caso, tanto os quintos incorporados, transformados em VPNI, quanto a GAE, </w:t>
      </w:r>
      <w:r w:rsidRPr="16D0F8A3">
        <w:rPr>
          <w:rFonts w:ascii="Times New Roman" w:eastAsia="Times New Roman" w:hAnsi="Times New Roman"/>
          <w:b/>
          <w:bCs/>
          <w:color w:val="000000" w:themeColor="text1"/>
          <w:sz w:val="26"/>
          <w:szCs w:val="26"/>
        </w:rPr>
        <w:t>são pagos, cumulativamente, há 12 (doze) anos, de forma contínua e ininterrupta</w:t>
      </w:r>
      <w:r w:rsidRPr="16D0F8A3">
        <w:rPr>
          <w:rFonts w:ascii="Times New Roman" w:eastAsia="Times New Roman" w:hAnsi="Times New Roman"/>
          <w:color w:val="000000" w:themeColor="text1"/>
          <w:sz w:val="26"/>
          <w:szCs w:val="26"/>
        </w:rPr>
        <w:t xml:space="preserve">. A VPNI, em si, foi incorporada há </w:t>
      </w:r>
      <w:r w:rsidRPr="16D0F8A3">
        <w:rPr>
          <w:rFonts w:ascii="Times New Roman" w:eastAsia="Times New Roman" w:hAnsi="Times New Roman"/>
          <w:b/>
          <w:bCs/>
          <w:color w:val="000000" w:themeColor="text1"/>
          <w:sz w:val="26"/>
          <w:szCs w:val="26"/>
        </w:rPr>
        <w:t>20 (vinte) anos</w:t>
      </w:r>
      <w:r w:rsidRPr="16D0F8A3">
        <w:rPr>
          <w:rFonts w:ascii="Times New Roman" w:eastAsia="Times New Roman" w:hAnsi="Times New Roman"/>
          <w:color w:val="000000" w:themeColor="text1"/>
          <w:sz w:val="26"/>
          <w:szCs w:val="26"/>
        </w:rPr>
        <w:t>. Logo, mesmo uma análise superficial torna evidente que transcorreu o prazo decadencial previsto no parágrafo primeiro do artigo 54 da Lei 9.784/1999: </w:t>
      </w:r>
    </w:p>
    <w:p w14:paraId="078DF279" w14:textId="6DEFFC69"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214BE833" w14:textId="22760095" w:rsidR="0D1069A5" w:rsidRDefault="5CD44550" w:rsidP="16D0F8A3">
      <w:pPr>
        <w:spacing w:after="0" w:line="240" w:lineRule="auto"/>
        <w:ind w:left="169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Art. 54. O direito da Administração de anular os atos administrativos de que decorram efeitos favoráveis para os destinatários decai em cinco anos, </w:t>
      </w:r>
      <w:r w:rsidRPr="16D0F8A3">
        <w:rPr>
          <w:rFonts w:ascii="Times New Roman" w:eastAsia="Times New Roman" w:hAnsi="Times New Roman"/>
          <w:b/>
          <w:bCs/>
          <w:color w:val="000000" w:themeColor="text1"/>
        </w:rPr>
        <w:t>contados da data em que foram praticados</w:t>
      </w:r>
      <w:r w:rsidRPr="16D0F8A3">
        <w:rPr>
          <w:rFonts w:ascii="Times New Roman" w:eastAsia="Times New Roman" w:hAnsi="Times New Roman"/>
          <w:color w:val="000000" w:themeColor="text1"/>
        </w:rPr>
        <w:t>, salvo comprovada má-fé. </w:t>
      </w:r>
    </w:p>
    <w:p w14:paraId="2387EDAC" w14:textId="4E0FCCC1" w:rsidR="0D1069A5" w:rsidRDefault="5CD44550" w:rsidP="16D0F8A3">
      <w:pPr>
        <w:spacing w:after="0" w:line="240" w:lineRule="auto"/>
        <w:ind w:left="169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w:t>
      </w:r>
    </w:p>
    <w:p w14:paraId="7B923423" w14:textId="43C6EB7D" w:rsidR="0D1069A5" w:rsidRDefault="5CD44550" w:rsidP="16D0F8A3">
      <w:pPr>
        <w:spacing w:after="0" w:line="240" w:lineRule="auto"/>
        <w:ind w:left="169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1º No caso de efeitos patrimoniais contínuos, </w:t>
      </w:r>
      <w:r w:rsidRPr="16D0F8A3">
        <w:rPr>
          <w:rFonts w:ascii="Times New Roman" w:eastAsia="Times New Roman" w:hAnsi="Times New Roman"/>
          <w:b/>
          <w:bCs/>
          <w:color w:val="000000" w:themeColor="text1"/>
        </w:rPr>
        <w:t>o prazo de decadência contar-se-á da percepção do primeiro pagamento</w:t>
      </w:r>
      <w:r w:rsidRPr="16D0F8A3">
        <w:rPr>
          <w:rFonts w:ascii="Times New Roman" w:eastAsia="Times New Roman" w:hAnsi="Times New Roman"/>
          <w:color w:val="000000" w:themeColor="text1"/>
        </w:rPr>
        <w:t>. </w:t>
      </w:r>
    </w:p>
    <w:p w14:paraId="637ED54A" w14:textId="68365A8F" w:rsidR="0D1069A5" w:rsidRDefault="5CD44550" w:rsidP="16D0F8A3">
      <w:pPr>
        <w:spacing w:after="0" w:line="240" w:lineRule="auto"/>
        <w:ind w:left="169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w:t>
      </w:r>
    </w:p>
    <w:p w14:paraId="21290F38" w14:textId="2DB7D03D" w:rsidR="0D1069A5" w:rsidRDefault="5CD44550" w:rsidP="16D0F8A3">
      <w:pPr>
        <w:spacing w:after="0" w:line="240" w:lineRule="auto"/>
        <w:ind w:left="169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2º Considera-se exercício do direito de anular qualquer medida de autoridade administrativa que importe impugnação à validade do ato. </w:t>
      </w:r>
    </w:p>
    <w:p w14:paraId="7E82862A" w14:textId="0EA91E43" w:rsidR="0D1069A5" w:rsidRDefault="5CD44550"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2E310C74" w14:textId="6F4C5576" w:rsidR="0D1069A5" w:rsidRDefault="5CD44550" w:rsidP="16D0F8A3">
      <w:pPr>
        <w:spacing w:after="0" w:line="240" w:lineRule="auto"/>
        <w:ind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Assim, tendo em vista que a exclusão de parcela remuneratória (VPNI ou GAE) que se pretende implementar é posterior ao prazo decadencial estabelecido pelo artigo 54 da Lei 9.784, de 1999, não deveria ocorrer a supressão ilegal. Não houve inovação legislativa sobre a matéria e qualquer autoridade administrativa (inclusive o TCU) está sujeito aos efeitos da decadência.</w:t>
      </w:r>
    </w:p>
    <w:p w14:paraId="345F7F69" w14:textId="02F96408"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25168014" w14:textId="5B333756" w:rsidR="0D1069A5" w:rsidRDefault="5CD44550"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É assim porque a referida lei estabelece, de modo expresso, que o prazo decadencial tem seu início </w:t>
      </w:r>
      <w:r w:rsidRPr="16D0F8A3">
        <w:rPr>
          <w:rFonts w:ascii="Times New Roman" w:eastAsia="Times New Roman" w:hAnsi="Times New Roman"/>
          <w:b/>
          <w:bCs/>
          <w:color w:val="000000" w:themeColor="text1"/>
          <w:sz w:val="26"/>
          <w:szCs w:val="26"/>
        </w:rPr>
        <w:t xml:space="preserve">a partir do momento em que o direito for </w:t>
      </w:r>
      <w:r w:rsidRPr="16D0F8A3">
        <w:rPr>
          <w:rFonts w:ascii="Times New Roman" w:eastAsia="Times New Roman" w:hAnsi="Times New Roman"/>
          <w:b/>
          <w:bCs/>
          <w:color w:val="000000" w:themeColor="text1"/>
          <w:sz w:val="26"/>
          <w:szCs w:val="26"/>
        </w:rPr>
        <w:lastRenderedPageBreak/>
        <w:t>implementado</w:t>
      </w:r>
      <w:r w:rsidRPr="16D0F8A3">
        <w:rPr>
          <w:rFonts w:ascii="Times New Roman" w:eastAsia="Times New Roman" w:hAnsi="Times New Roman"/>
          <w:color w:val="000000" w:themeColor="text1"/>
          <w:sz w:val="26"/>
          <w:szCs w:val="26"/>
        </w:rPr>
        <w:t xml:space="preserve">, redação a qual a jurisprudência tem dado amplo acolhimento, do que servem de exemplos os seguintes julgados, do </w:t>
      </w:r>
      <w:r w:rsidRPr="16D0F8A3">
        <w:rPr>
          <w:rFonts w:ascii="Times New Roman" w:eastAsia="Times New Roman" w:hAnsi="Times New Roman"/>
          <w:b/>
          <w:bCs/>
          <w:color w:val="000000" w:themeColor="text1"/>
          <w:sz w:val="26"/>
          <w:szCs w:val="26"/>
        </w:rPr>
        <w:t>Superior Tribunal de Justiça</w:t>
      </w:r>
      <w:r w:rsidRPr="16D0F8A3">
        <w:rPr>
          <w:rFonts w:ascii="Times New Roman" w:eastAsia="Times New Roman" w:hAnsi="Times New Roman"/>
          <w:color w:val="000000" w:themeColor="text1"/>
          <w:sz w:val="26"/>
          <w:szCs w:val="26"/>
        </w:rPr>
        <w:t>:</w:t>
      </w:r>
    </w:p>
    <w:p w14:paraId="45286F28" w14:textId="3D00E5CE" w:rsidR="0D1069A5" w:rsidRDefault="0D1069A5" w:rsidP="16D0F8A3">
      <w:pPr>
        <w:spacing w:after="0" w:line="240" w:lineRule="auto"/>
        <w:ind w:left="1695"/>
        <w:jc w:val="both"/>
        <w:rPr>
          <w:rFonts w:ascii="Times New Roman" w:eastAsia="Times New Roman" w:hAnsi="Times New Roman"/>
          <w:color w:val="000000" w:themeColor="text1"/>
          <w:sz w:val="26"/>
          <w:szCs w:val="26"/>
        </w:rPr>
      </w:pPr>
    </w:p>
    <w:p w14:paraId="0489ED35" w14:textId="3AA4D38D" w:rsidR="0D1069A5" w:rsidRDefault="5CD44550" w:rsidP="16D0F8A3">
      <w:pPr>
        <w:spacing w:after="0" w:line="240" w:lineRule="auto"/>
        <w:ind w:left="169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sz w:val="20"/>
          <w:szCs w:val="20"/>
        </w:rPr>
        <w:t>ADMINISTRATIVO. SERVIDOR PÚBLICO. APOSENTADORIA. CONTAGEM DE TEMPO. IRREGULARIDADE APURADA PELO TRIBUNAL DE CONTAS DA UNIÃO. REVISÃO DO ATO. PRAZO DECADENCIAL. ART. 54 DA LEI N. 9.784/99. TERMO INICIAL</w:t>
      </w:r>
      <w:r w:rsidRPr="16D0F8A3">
        <w:rPr>
          <w:rFonts w:ascii="Times New Roman" w:eastAsia="Times New Roman" w:hAnsi="Times New Roman"/>
          <w:color w:val="000000" w:themeColor="text1"/>
        </w:rPr>
        <w:t>. 1. A aposentadoria de servidor público não é ato complexo, pois não se conjugam as vontades da Administração e do Tribunal de Contas para concede-la. São atos distintos e praticados no manejo de competências igualmente diversas, na medida em que a primeira concede e o segundo controla sua legalidade. 2. </w:t>
      </w:r>
      <w:r w:rsidRPr="16D0F8A3">
        <w:rPr>
          <w:rFonts w:ascii="Times New Roman" w:eastAsia="Times New Roman" w:hAnsi="Times New Roman"/>
          <w:b/>
          <w:bCs/>
          <w:color w:val="000000" w:themeColor="text1"/>
        </w:rPr>
        <w:t>O art. 54 da Lei n. 9.784/99 vem a consolidar o princípio da segurança jurídica dentro do processo administrativo, tendo por precípua finalidade a obtenção de um estado de coisas que enseje estabilidade e previsibilidade dos atos</w:t>
      </w:r>
      <w:r w:rsidRPr="16D0F8A3">
        <w:rPr>
          <w:rFonts w:ascii="Times New Roman" w:eastAsia="Times New Roman" w:hAnsi="Times New Roman"/>
          <w:color w:val="000000" w:themeColor="text1"/>
        </w:rPr>
        <w:t>. 3. Não é viável a afirmativa de que o termo inicial para a incidência do art. 54 da Lei n. 9.784/99 é a conclusão do ato de aposentadoria, após a manifestação dos Tribunal de Contas, pois o período que permeia a primeira concessão pela Administração e a conclusão do controle de legalidade deve observar os princípios constitucionais da Eficiência e da Proteção da Confiança Legítima, bem como a garantia de duração razoável do processo. 4. Recurso especial improvido. (REsp 1047524/SC, Rel. Ministro JORGE MUSSI, QUINTA TURMA, julgado em 16/06/2009, DJe 03/08/2009)</w:t>
      </w:r>
    </w:p>
    <w:p w14:paraId="0ED16E8A" w14:textId="0B75050C" w:rsidR="0D1069A5" w:rsidRDefault="0D1069A5" w:rsidP="16D0F8A3">
      <w:pPr>
        <w:spacing w:after="0" w:line="240" w:lineRule="auto"/>
        <w:ind w:left="1695"/>
        <w:jc w:val="both"/>
        <w:rPr>
          <w:rFonts w:ascii="Times New Roman" w:eastAsia="Times New Roman" w:hAnsi="Times New Roman"/>
          <w:color w:val="000000" w:themeColor="text1"/>
        </w:rPr>
      </w:pPr>
    </w:p>
    <w:p w14:paraId="0139502E" w14:textId="71C57654" w:rsidR="0D1069A5" w:rsidRDefault="5CD44550" w:rsidP="16D0F8A3">
      <w:pPr>
        <w:spacing w:after="0" w:line="240" w:lineRule="auto"/>
        <w:ind w:left="169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ADMINISTRATIVO - MANDADO DE SEGURANÇA PREVENTIVO - FUNCIONÁRIOS DA CONAB - ANISTIA - REVISÃO DOS ATOS - IMPOSSIBILIDADE – PRESCRIÇÃO ADMINISTRATIVA – § 1º, DO ART. 54, DA LEI 9.784/99 - SEGURANÇA CONCEDIDA. 1 – Pode a Administração utilizar de seu poder de autotutela, que possibilita a esta anular ou revogar seus próprios atos, quando eivados de nulidades. Entretanto, deve-se preservar a estabilidade das relações jurídicas firmadas, respeitando-se o direito adquirido e incorporado ao patrimônio material e moral do particular. Na esteira de culta doutrina e consoante o art. 54, parág. 1º, da Lei nº 9.784/99, o prazo decadencial para anulação dos atos administrativos é de 05 (cinco) anos da percepção do primeiro pagamento. No mesmo sentido, precedentes desta Corte (MS nºs 7.455/DF, Rel. Ministro VICENTE LEAL, DJU de 18.03.2002 e 6.566/DF, Rel. p/acórdão Ministro PEÇANHA MARTINS, DJU de 15.05.2000). 2 – No caso sub judice, tendo sido os impetrantes anistiados e readmitidos pela Portaria nº 237, de 21.12.1994, publicada em 23.12.1994, decorridos, portanto, mais de cinco anos entre a sua edição e a data da impetração, em 12.03.2001, não pode a Administração Pública revisar tal ato em razão da prescritibilidade dos atos administrativos. 3 – Segurança concedida para afastar eventual desconstituição dos atos de anistia em benefício dos impetrantes, determinando suas manutenções no serviço público federal. Custas ex lege. Honorários advocatícios incabíveis, nos termos das Súmulas 512/STF e 105/STJ. (STJ, Terceira Seção, MS 7436, Rel. Min. Jorge Scartezzini, DJ 17/02/2003).</w:t>
      </w:r>
    </w:p>
    <w:p w14:paraId="175AAC4B" w14:textId="70ACB46E"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1F18FDB2" w14:textId="27067884" w:rsidR="0D1069A5" w:rsidRDefault="5CD44550"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O </w:t>
      </w:r>
      <w:r w:rsidRPr="16D0F8A3">
        <w:rPr>
          <w:rFonts w:ascii="Times New Roman" w:eastAsia="Times New Roman" w:hAnsi="Times New Roman"/>
          <w:b/>
          <w:bCs/>
          <w:color w:val="000000" w:themeColor="text1"/>
          <w:sz w:val="26"/>
          <w:szCs w:val="26"/>
        </w:rPr>
        <w:t>Supremo Tribunal Federal</w:t>
      </w:r>
      <w:r w:rsidRPr="16D0F8A3">
        <w:rPr>
          <w:rFonts w:ascii="Times New Roman" w:eastAsia="Times New Roman" w:hAnsi="Times New Roman"/>
          <w:color w:val="000000" w:themeColor="text1"/>
          <w:sz w:val="26"/>
          <w:szCs w:val="26"/>
        </w:rPr>
        <w:t xml:space="preserve"> também se posiciona pela manutenção dos atos administrativos quando decorridos cinco anos da produção de seus efeitos, em razão do artigo 54 da Lei 9.784, de 1999:</w:t>
      </w:r>
    </w:p>
    <w:p w14:paraId="697604FC" w14:textId="30F89DE0" w:rsidR="0D1069A5" w:rsidRDefault="5CD44550" w:rsidP="16D0F8A3">
      <w:pPr>
        <w:spacing w:after="0" w:line="240" w:lineRule="auto"/>
        <w:ind w:left="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lastRenderedPageBreak/>
        <w:t> </w:t>
      </w:r>
    </w:p>
    <w:p w14:paraId="7D3B4DC7" w14:textId="3B15F353" w:rsidR="0D1069A5" w:rsidRDefault="5CD44550" w:rsidP="16D0F8A3">
      <w:pPr>
        <w:spacing w:after="0" w:line="240" w:lineRule="auto"/>
        <w:ind w:left="169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sz w:val="20"/>
          <w:szCs w:val="20"/>
        </w:rPr>
        <w:t>MANDADO DE SEGURANÇA. TRIBUNAL DE CONTAS DA UNIÃO. ANULAÇÃO DE ASCENSÕES FUNCIONAIS CONCEDIDAS AOS EMPREGADOS DA ECT. DECADÊNCIA DO DIREITO DE REVER A LEGALIDADE DAS ASCENSÕES. NECESSIDADE DE AS PARTES ATINGIDAS PELO ATO COATOR INTEGRAREM A LIDE</w:t>
      </w:r>
      <w:r w:rsidRPr="16D0F8A3">
        <w:rPr>
          <w:rFonts w:ascii="Times New Roman" w:eastAsia="Times New Roman" w:hAnsi="Times New Roman"/>
          <w:color w:val="000000" w:themeColor="text1"/>
        </w:rPr>
        <w:t>. 1. Decadência do direito de a Administração Pública rever a legalidade dos atos de ascensão funcional dos empregados da Empresa Brasileira de Correios e Telégrafos - ECT, praticados entre 1993 e 1995 (Art. 54 da Lei n. 9.784/1999). 2. Direito ao contraditório e à ampla defesa a ser garantido aos beneficiários de atos administrativos inerentes à sua condição funcional para a validade de decisões do Tribunal de Contas da União que importem em sua anulação ou revogação. Súmula Vinculante n. 3. Precedentes. 3. Mandado de segurança concedido. (MS 26393, Relator(a): Min. CÁRMEN LÚCIA, Tribunal Pleno, julgado em 29/10/2009, DJe-030) </w:t>
      </w:r>
    </w:p>
    <w:p w14:paraId="3BD8E4F4" w14:textId="3C565EBE" w:rsidR="0D1069A5" w:rsidRDefault="5CD44550"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4B9C0412" w14:textId="2187A73B" w:rsidR="0D1069A5" w:rsidRDefault="5CD44550" w:rsidP="16D0F8A3">
      <w:pPr>
        <w:spacing w:after="0" w:line="240" w:lineRule="auto"/>
        <w:ind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Sobre este ponto, destaca-se a necessidade de observância ao prazo decadencial para a revisão dos atos, “sob pena de </w:t>
      </w:r>
      <w:r w:rsidRPr="16D0F8A3">
        <w:rPr>
          <w:rFonts w:ascii="Times New Roman" w:eastAsia="Times New Roman" w:hAnsi="Times New Roman"/>
          <w:b/>
          <w:bCs/>
          <w:color w:val="000000" w:themeColor="text1"/>
          <w:sz w:val="26"/>
          <w:szCs w:val="26"/>
        </w:rPr>
        <w:t>ofensa ao princípio da confiança,</w:t>
      </w:r>
      <w:r w:rsidRPr="16D0F8A3">
        <w:rPr>
          <w:rFonts w:ascii="Times New Roman" w:eastAsia="Times New Roman" w:hAnsi="Times New Roman"/>
          <w:color w:val="000000" w:themeColor="text1"/>
          <w:sz w:val="26"/>
          <w:szCs w:val="26"/>
        </w:rPr>
        <w:t xml:space="preserve"> face subjetiva do princípio da segurança jurídica”. Conforme se extrai do voto relator:</w:t>
      </w:r>
    </w:p>
    <w:p w14:paraId="52D902EB" w14:textId="7CC89451"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6743071B" w14:textId="61220BFA" w:rsidR="0D1069A5" w:rsidRDefault="5CD44550"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Assim, uma vez que o ato formal do órgão administrativo – que verifica o preenchimento dos requisitos legais e concede a aposentadoria ou pensão – tem o condão de</w:t>
      </w:r>
      <w:r w:rsidRPr="16D0F8A3">
        <w:rPr>
          <w:rFonts w:ascii="Times New Roman" w:eastAsia="Times New Roman" w:hAnsi="Times New Roman"/>
          <w:b/>
          <w:bCs/>
          <w:color w:val="000000" w:themeColor="text1"/>
        </w:rPr>
        <w:t xml:space="preserve"> criar situações jurídicas com plena aparência de legalidade e legitimidade</w:t>
      </w:r>
      <w:r w:rsidRPr="16D0F8A3">
        <w:rPr>
          <w:rFonts w:ascii="Times New Roman" w:eastAsia="Times New Roman" w:hAnsi="Times New Roman"/>
          <w:color w:val="000000" w:themeColor="text1"/>
        </w:rPr>
        <w:t>, é de admitir-se, portanto, que também a atuação do TCU, no tocante ao julgamento da legalidade e registro dessas aposentadorias ou pensões, deva estar sujeita a um prazo razoável, sob pena de ofensa ao princípio da confiança, face subjetiva do princípio da segurança jurídica.</w:t>
      </w:r>
    </w:p>
    <w:p w14:paraId="3ECA195C" w14:textId="0A1177C3"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7631D279" w14:textId="078E621E" w:rsidR="0D1069A5" w:rsidRDefault="5CD44550"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Veja-se ainda o importante destaque feito pelo Ministro Alexandre de Moraes acerca do prazo para que a Corte de Contas revise suas decisões e os prejuízos de sua inércia:</w:t>
      </w:r>
    </w:p>
    <w:p w14:paraId="409D9AC6" w14:textId="554E2DAA"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66B1A140" w14:textId="18569E38" w:rsidR="0D1069A5" w:rsidRDefault="5CD44550"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E há casos - na Turma, nós já chegamos a analisar alguns casos - em que, depois de </w:t>
      </w:r>
      <w:r w:rsidRPr="16D0F8A3">
        <w:rPr>
          <w:rFonts w:ascii="Times New Roman" w:eastAsia="Times New Roman" w:hAnsi="Times New Roman"/>
          <w:b/>
          <w:bCs/>
          <w:color w:val="000000" w:themeColor="text1"/>
        </w:rPr>
        <w:t>seis, sete, oito, dez, doze, anos</w:t>
      </w:r>
      <w:r w:rsidRPr="16D0F8A3">
        <w:rPr>
          <w:rFonts w:ascii="Times New Roman" w:eastAsia="Times New Roman" w:hAnsi="Times New Roman"/>
          <w:color w:val="000000" w:themeColor="text1"/>
        </w:rPr>
        <w:t xml:space="preserve">, a pessoa é </w:t>
      </w:r>
      <w:r w:rsidRPr="16D0F8A3">
        <w:rPr>
          <w:rFonts w:ascii="Times New Roman" w:eastAsia="Times New Roman" w:hAnsi="Times New Roman"/>
          <w:b/>
          <w:bCs/>
          <w:color w:val="000000" w:themeColor="text1"/>
        </w:rPr>
        <w:t>surpreendida com uma notificação</w:t>
      </w:r>
      <w:r w:rsidRPr="16D0F8A3">
        <w:rPr>
          <w:rFonts w:ascii="Times New Roman" w:eastAsia="Times New Roman" w:hAnsi="Times New Roman"/>
          <w:color w:val="000000" w:themeColor="text1"/>
        </w:rPr>
        <w:t xml:space="preserve"> dizendo que a sua aposentadoria, se não está cortada, está reduzida a setenta por cento, como no caso aqui, ou cinquenta por cento. (grifou-se)</w:t>
      </w:r>
    </w:p>
    <w:p w14:paraId="5D4F2029" w14:textId="0BC27488"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747CA37B" w14:textId="104DD110" w:rsidR="0D1069A5" w:rsidRDefault="5CD44550"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Dessa forma, houve a decadência do direito da Administração de anular a incorporação dos quintos que tenham origem em função comissionada, assim também do direito de anular a implementação da GAE, e o pagamento cumulativo das duas vantagens, sempre que o primeiro pagamento cumulativo tenha se verificado há mais de cinco anos.</w:t>
      </w:r>
    </w:p>
    <w:p w14:paraId="6100A7D1" w14:textId="52678428" w:rsidR="0D1069A5" w:rsidRDefault="5CD44550"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4F66DE08" w14:textId="39801C00" w:rsidR="0D1069A5" w:rsidRDefault="5CD44550"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Em virtude da decadência administrativa e da continuidade do pagamento, também advém o dever de manutenção do </w:t>
      </w:r>
      <w:r w:rsidRPr="16D0F8A3">
        <w:rPr>
          <w:rFonts w:ascii="Times New Roman" w:eastAsia="Times New Roman" w:hAnsi="Times New Roman"/>
          <w:i/>
          <w:iCs/>
          <w:color w:val="000000" w:themeColor="text1"/>
          <w:sz w:val="26"/>
          <w:szCs w:val="26"/>
        </w:rPr>
        <w:t>status quo ante</w:t>
      </w:r>
      <w:r w:rsidRPr="16D0F8A3">
        <w:rPr>
          <w:rFonts w:ascii="Times New Roman" w:eastAsia="Times New Roman" w:hAnsi="Times New Roman"/>
          <w:color w:val="000000" w:themeColor="text1"/>
          <w:sz w:val="26"/>
          <w:szCs w:val="26"/>
        </w:rPr>
        <w:t xml:space="preserve">, consoante o qual deve ser mantida a percepção do pagamento da VPNI oriunda de quintos </w:t>
      </w:r>
      <w:r w:rsidRPr="16D0F8A3">
        <w:rPr>
          <w:rFonts w:ascii="Times New Roman" w:eastAsia="Times New Roman" w:hAnsi="Times New Roman"/>
          <w:color w:val="000000" w:themeColor="text1"/>
          <w:sz w:val="26"/>
          <w:szCs w:val="26"/>
        </w:rPr>
        <w:lastRenderedPageBreak/>
        <w:t>incorporados, cumulativamente com a GAE, ambas incorporadas à remuneração do servidor.</w:t>
      </w:r>
    </w:p>
    <w:p w14:paraId="31A034C3" w14:textId="0FF873DD" w:rsidR="0D1069A5" w:rsidRDefault="0D1069A5" w:rsidP="16D0F8A3">
      <w:pPr>
        <w:spacing w:after="0" w:line="240" w:lineRule="auto"/>
        <w:jc w:val="both"/>
        <w:rPr>
          <w:rFonts w:ascii="Times New Roman" w:eastAsia="Times New Roman" w:hAnsi="Times New Roman"/>
          <w:color w:val="000000" w:themeColor="text1"/>
          <w:sz w:val="26"/>
          <w:szCs w:val="26"/>
        </w:rPr>
      </w:pPr>
    </w:p>
    <w:p w14:paraId="5FEF700C" w14:textId="33484864" w:rsidR="0D1069A5" w:rsidRDefault="03D92095" w:rsidP="16D0F8A3">
      <w:pPr>
        <w:spacing w:after="0" w:line="240" w:lineRule="auto"/>
        <w:ind w:right="15"/>
        <w:jc w:val="both"/>
        <w:rPr>
          <w:rFonts w:ascii="Times New Roman" w:eastAsia="Times New Roman" w:hAnsi="Times New Roman"/>
          <w:color w:val="000000" w:themeColor="text1"/>
          <w:sz w:val="26"/>
          <w:szCs w:val="26"/>
        </w:rPr>
      </w:pPr>
      <w:r w:rsidRPr="16D0F8A3">
        <w:rPr>
          <w:rFonts w:ascii="Times New Roman" w:eastAsia="Times New Roman" w:hAnsi="Times New Roman"/>
          <w:b/>
          <w:bCs/>
          <w:color w:val="000000" w:themeColor="text1"/>
          <w:sz w:val="26"/>
          <w:szCs w:val="26"/>
        </w:rPr>
        <w:t>2</w:t>
      </w:r>
      <w:r w:rsidR="5CD44550" w:rsidRPr="16D0F8A3">
        <w:rPr>
          <w:rFonts w:ascii="Times New Roman" w:eastAsia="Times New Roman" w:hAnsi="Times New Roman"/>
          <w:b/>
          <w:bCs/>
          <w:color w:val="000000" w:themeColor="text1"/>
          <w:sz w:val="26"/>
          <w:szCs w:val="26"/>
        </w:rPr>
        <w:t>.4. </w:t>
      </w:r>
      <w:r w:rsidR="5CD44550" w:rsidRPr="16D0F8A3">
        <w:rPr>
          <w:rFonts w:ascii="Times New Roman" w:eastAsia="Times New Roman" w:hAnsi="Times New Roman"/>
          <w:b/>
          <w:bCs/>
          <w:color w:val="000000" w:themeColor="text1"/>
          <w:sz w:val="26"/>
          <w:szCs w:val="26"/>
          <w:u w:val="single"/>
        </w:rPr>
        <w:t>Da VPNI oriunda de quintos incorporados: natureza jurídica da GRG e da FC, necessidade de designação e encargos adicionais, pagamento apenas para alguns oficiais de justiça</w:t>
      </w:r>
    </w:p>
    <w:p w14:paraId="60DC6511" w14:textId="4DFFFCF0"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549C07A0" w14:textId="4194EEEB" w:rsidR="0D1069A5" w:rsidRDefault="5CD44550"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Aos servidores ocupantes do cargo de Analista Judiciário, Especialidade Oficial de Justiça Avaliador Federal, que exerceram funções de confiança, é devido o pagamento da Vantagem Pessoal Nominalmente Identificada, oriunda de quintos incorporados. Essa incorporação encontrava-se prevista no artigo 62, § 2º, da Lei 8.112/1990, que assim previa:</w:t>
      </w:r>
    </w:p>
    <w:p w14:paraId="10D5329E" w14:textId="1DEE400F" w:rsidR="0D1069A5" w:rsidRDefault="5CD44550"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1060A1E6" w14:textId="1AB67C8D" w:rsidR="0D1069A5" w:rsidRDefault="5CD44550" w:rsidP="16D0F8A3">
      <w:pPr>
        <w:spacing w:after="0" w:line="240" w:lineRule="auto"/>
        <w:ind w:left="1695" w:right="1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Art. 62. Ao servidor investido em função de direção, chefia ou assessoramento é devida uma gratificação pelo seu exercício. </w:t>
      </w:r>
    </w:p>
    <w:p w14:paraId="3E8487EF" w14:textId="551DF8EE" w:rsidR="0D1069A5" w:rsidRDefault="5CD44550" w:rsidP="16D0F8A3">
      <w:pPr>
        <w:spacing w:after="0" w:line="240" w:lineRule="auto"/>
        <w:ind w:left="1695" w:right="1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w:t>
      </w:r>
    </w:p>
    <w:p w14:paraId="7A1A84F0" w14:textId="2725CE79" w:rsidR="0D1069A5" w:rsidRDefault="5CD44550" w:rsidP="16D0F8A3">
      <w:pPr>
        <w:spacing w:after="0" w:line="240" w:lineRule="auto"/>
        <w:ind w:left="1695" w:right="1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2º A gratificação prevista neste </w:t>
      </w:r>
      <w:r w:rsidRPr="16D0F8A3">
        <w:rPr>
          <w:rFonts w:ascii="Times New Roman" w:eastAsia="Times New Roman" w:hAnsi="Times New Roman"/>
          <w:b/>
          <w:bCs/>
          <w:color w:val="000000" w:themeColor="text1"/>
        </w:rPr>
        <w:t>artigo incorpora-se à remuneração do servidor e integra o provento da aposentadoria, na proporção de 1/5 (um quinto) por ano de exercício na função de direção, chefia ou assessoramento, até o limite de 5 (cinco) quintos</w:t>
      </w:r>
      <w:r w:rsidRPr="16D0F8A3">
        <w:rPr>
          <w:rFonts w:ascii="Times New Roman" w:eastAsia="Times New Roman" w:hAnsi="Times New Roman"/>
          <w:color w:val="000000" w:themeColor="text1"/>
        </w:rPr>
        <w:t>. (grifou-se) </w:t>
      </w:r>
    </w:p>
    <w:p w14:paraId="65FC2B5D" w14:textId="428F2FEC" w:rsidR="0D1069A5" w:rsidRDefault="5CD44550" w:rsidP="16D0F8A3">
      <w:pPr>
        <w:spacing w:after="0" w:line="240" w:lineRule="auto"/>
        <w:ind w:left="1695" w:right="1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0C3D16A6" w14:textId="549A92D3" w:rsidR="0D1069A5" w:rsidRDefault="5CD44550"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Ao dispor sobre o assunto, a Lei 8.911/1994, no seu artigo 3º, preceituava:</w:t>
      </w:r>
    </w:p>
    <w:p w14:paraId="2F9E3FE0" w14:textId="7B91C2A6"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1D379B4E" w14:textId="6A5E0943" w:rsidR="0D1069A5" w:rsidRDefault="5CD44550" w:rsidP="16D0F8A3">
      <w:pPr>
        <w:spacing w:after="0" w:line="240" w:lineRule="auto"/>
        <w:ind w:left="1695" w:right="1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Art. 3º Para efeito do disposto no § 2º do art. 62 da Lei nº 8.112, de 11 de dezembro de 1990, o servidor investido em função de direção, chefia e assessoramento, ou cargo em comissão, previsto nesta Lei, incorporará à sua remuneração a importância equivalente à fração de um quinto da gratificação do cargo ou função para o qual foi designado ou nomeado, a cada doze meses de efetivo exercício, até o limite de cinco quintos.  </w:t>
      </w:r>
    </w:p>
    <w:p w14:paraId="1079E571" w14:textId="4D943560" w:rsidR="0D1069A5" w:rsidRDefault="5CD44550" w:rsidP="16D0F8A3">
      <w:pPr>
        <w:spacing w:after="0" w:line="240" w:lineRule="auto"/>
        <w:ind w:left="1695" w:right="1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1º Entende-se como gratificação a ser incorporada à remuneração do servidor a parcela referente à representação e a gratificação de atividade pelo desempenho de função, quando se tratar de cargo em comissão ou função de direção, chefia e assessoramento dos Grupos: Direção e Assessoramento Superiores - DAS e Cargo de Direção - CD. </w:t>
      </w:r>
    </w:p>
    <w:p w14:paraId="6326BC93" w14:textId="22ED5FA0" w:rsidR="0D1069A5" w:rsidRDefault="0D1069A5" w:rsidP="16D0F8A3">
      <w:pPr>
        <w:spacing w:after="0" w:line="240" w:lineRule="auto"/>
        <w:ind w:left="1695" w:right="15"/>
        <w:jc w:val="both"/>
        <w:rPr>
          <w:rFonts w:ascii="Times New Roman" w:eastAsia="Times New Roman" w:hAnsi="Times New Roman"/>
          <w:color w:val="000000" w:themeColor="text1"/>
          <w:sz w:val="26"/>
          <w:szCs w:val="26"/>
        </w:rPr>
      </w:pPr>
    </w:p>
    <w:p w14:paraId="4770ED17" w14:textId="20163BB0" w:rsidR="0D1069A5" w:rsidRDefault="5CD44550"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Posteriormente, com a entrada em vigor da Lei 9.527/1997, que alterou as Leis 8.112/1990 e 8.911/1994, para deixar de prever a incorporação dos quintos, as parcelas incorporadas foram transformadas em Vantagem Pessoal Nominalmente Identificada, por força do disposto no artigo 15:</w:t>
      </w:r>
    </w:p>
    <w:p w14:paraId="4457D187" w14:textId="5AB9A3A1"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323715BC" w14:textId="3219CFE1" w:rsidR="0D1069A5" w:rsidRDefault="5CD44550" w:rsidP="16D0F8A3">
      <w:pPr>
        <w:spacing w:after="0" w:line="240" w:lineRule="auto"/>
        <w:ind w:left="1695" w:right="1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Art. 15. Fica extinta a incorporação da retribuição pelo exercício de função de direção, chefia ou assessoramento, cargo de provimento em comissão ou de </w:t>
      </w:r>
      <w:r w:rsidRPr="16D0F8A3">
        <w:rPr>
          <w:rFonts w:ascii="Times New Roman" w:eastAsia="Times New Roman" w:hAnsi="Times New Roman"/>
          <w:color w:val="000000" w:themeColor="text1"/>
        </w:rPr>
        <w:lastRenderedPageBreak/>
        <w:t>Natureza Especial a que se referem os arts. 3º e 10 da Lei nº 8.911, de 11 de julho de 1994.  </w:t>
      </w:r>
    </w:p>
    <w:p w14:paraId="44927F07" w14:textId="048B60A5" w:rsidR="0D1069A5" w:rsidRDefault="5CD44550" w:rsidP="16D0F8A3">
      <w:pPr>
        <w:spacing w:after="0" w:line="240" w:lineRule="auto"/>
        <w:ind w:left="1695" w:right="1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1º </w:t>
      </w:r>
      <w:r w:rsidRPr="16D0F8A3">
        <w:rPr>
          <w:rFonts w:ascii="Times New Roman" w:eastAsia="Times New Roman" w:hAnsi="Times New Roman"/>
          <w:b/>
          <w:bCs/>
          <w:color w:val="000000" w:themeColor="text1"/>
        </w:rPr>
        <w:t>A importância paga em razão da incorporação a que se refere este artigo passa a constituir, a partir de 11 de novembro de 1997, vantagem pessoal nominalmente identificada</w:t>
      </w:r>
      <w:r w:rsidRPr="16D0F8A3">
        <w:rPr>
          <w:rFonts w:ascii="Times New Roman" w:eastAsia="Times New Roman" w:hAnsi="Times New Roman"/>
          <w:color w:val="000000" w:themeColor="text1"/>
        </w:rPr>
        <w:t>, sujeita exclusivamente à atualização decorrente da revisão geral da remuneração dos servidores públicos federais.  </w:t>
      </w:r>
    </w:p>
    <w:p w14:paraId="6BC3E46A" w14:textId="4135F275" w:rsidR="0D1069A5" w:rsidRDefault="5CD44550" w:rsidP="16D0F8A3">
      <w:pPr>
        <w:spacing w:after="0" w:line="240" w:lineRule="auto"/>
        <w:ind w:left="1695" w:right="1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2º É assegurado o direito à incorporação ou atualização de parcela ao servidor que, em 11 de novembro de 1997, tiver cumprido todos os requisitos legais para a concessão ou atualização a ela referente.</w:t>
      </w:r>
    </w:p>
    <w:p w14:paraId="77032D9E" w14:textId="7C6D3B92"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47F1364D" w14:textId="0B834669" w:rsidR="0D1069A5" w:rsidRDefault="5CD44550"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Portanto, com a vigência do artigo 62 da Lei 8.112/1990, regulado pela Lei </w:t>
      </w:r>
      <w:r w:rsidR="006F71EE">
        <w:rPr>
          <w:rFonts w:ascii="Times New Roman" w:eastAsia="Times New Roman" w:hAnsi="Times New Roman"/>
          <w:color w:val="000000" w:themeColor="text1"/>
          <w:sz w:val="26"/>
          <w:szCs w:val="26"/>
        </w:rPr>
        <w:t>8</w:t>
      </w:r>
      <w:r w:rsidRPr="16D0F8A3">
        <w:rPr>
          <w:rFonts w:ascii="Times New Roman" w:eastAsia="Times New Roman" w:hAnsi="Times New Roman"/>
          <w:color w:val="000000" w:themeColor="text1"/>
          <w:sz w:val="26"/>
          <w:szCs w:val="26"/>
        </w:rPr>
        <w:t>.911/1994, estabeleceu-se que a incorporação de quintos seria calculada na proporção de um quinto por ano de exercício das referidas funções, até o limite de cinco quintos. Após, com a edição da Lei 9.527/1997, a possibilidade de incorporação desta parcela foi extinta e as vantagens já incorporadas foram transformadas em Vantagem Pessoal Nominalmente Identificada.</w:t>
      </w:r>
    </w:p>
    <w:p w14:paraId="3C8A3F09" w14:textId="28686C78"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063840B2" w14:textId="6CA6494D" w:rsidR="0D1069A5" w:rsidRDefault="5CD44550"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Ou seja, percebe-se que a incorporação dos quintos e sua transformação em VPNI ocorreram </w:t>
      </w:r>
      <w:r w:rsidRPr="16D0F8A3">
        <w:rPr>
          <w:rFonts w:ascii="Times New Roman" w:eastAsia="Times New Roman" w:hAnsi="Times New Roman"/>
          <w:b/>
          <w:bCs/>
          <w:color w:val="000000" w:themeColor="text1"/>
          <w:sz w:val="26"/>
          <w:szCs w:val="26"/>
        </w:rPr>
        <w:t>há mais de 20 anos</w:t>
      </w:r>
      <w:r w:rsidRPr="16D0F8A3">
        <w:rPr>
          <w:rFonts w:ascii="Times New Roman" w:eastAsia="Times New Roman" w:hAnsi="Times New Roman"/>
          <w:color w:val="000000" w:themeColor="text1"/>
          <w:sz w:val="26"/>
          <w:szCs w:val="26"/>
        </w:rPr>
        <w:t xml:space="preserve">. O entendimento firmado pelo Tribunal de Contas da União sobre ilicitude no pagamento cumulativo das parcelas justamente reside na suposta identificação entre a Gratificação de Atividade Externa, a GRG e a FC de executante de mandados, sob o argumento de que todas seriam de natureza geral e abstrata, concedidas a todos Oficiais de Justiça. Não se sabe </w:t>
      </w:r>
      <w:r w:rsidR="005A765A">
        <w:rPr>
          <w:rFonts w:ascii="Times New Roman" w:eastAsia="Times New Roman" w:hAnsi="Times New Roman"/>
          <w:color w:val="000000" w:themeColor="text1"/>
          <w:sz w:val="26"/>
          <w:szCs w:val="26"/>
        </w:rPr>
        <w:t>como</w:t>
      </w:r>
      <w:r w:rsidRPr="16D0F8A3">
        <w:rPr>
          <w:rFonts w:ascii="Times New Roman" w:eastAsia="Times New Roman" w:hAnsi="Times New Roman"/>
          <w:color w:val="000000" w:themeColor="text1"/>
          <w:sz w:val="26"/>
          <w:szCs w:val="26"/>
        </w:rPr>
        <w:t xml:space="preserve"> o TCU chegou a esse entendimento, pois a legislação, a regulamentação sobre o tema e julgados anteriores do mesmo TCU dizem o contrário.</w:t>
      </w:r>
    </w:p>
    <w:p w14:paraId="5FA9B02B" w14:textId="5BCDD772"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1C83AA42" w14:textId="1BFC9D60" w:rsidR="0D1069A5" w:rsidRDefault="5CD44550"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A GRG e a subsequente função comissionada de executante de mandados (ambas funções de confiança) não eram devidas automaticamente aos oficiais de justiça, sendo necessária a designação formal (para apenas alguns), com encargos adicionais e diferenciações entre os tribunais.</w:t>
      </w:r>
    </w:p>
    <w:p w14:paraId="25F0D1EF" w14:textId="042CC810"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6D0F0E8A" w14:textId="6B40405C" w:rsidR="0D1069A5" w:rsidRDefault="5CD44550"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Contrariando a afirmação do relator do Acórdão 2784/2016/TCU-Pleno, o mesmo </w:t>
      </w:r>
      <w:r w:rsidRPr="16D0F8A3">
        <w:rPr>
          <w:rFonts w:ascii="Times New Roman" w:eastAsia="Times New Roman" w:hAnsi="Times New Roman"/>
          <w:b/>
          <w:bCs/>
          <w:color w:val="000000" w:themeColor="text1"/>
          <w:sz w:val="26"/>
          <w:szCs w:val="26"/>
        </w:rPr>
        <w:t>TRIBUNAL DE CONTAS DA UNIÃO</w:t>
      </w:r>
      <w:r w:rsidRPr="16D0F8A3">
        <w:rPr>
          <w:rFonts w:ascii="Times New Roman" w:eastAsia="Times New Roman" w:hAnsi="Times New Roman"/>
          <w:color w:val="000000" w:themeColor="text1"/>
          <w:sz w:val="26"/>
          <w:szCs w:val="26"/>
        </w:rPr>
        <w:t xml:space="preserve">, no </w:t>
      </w:r>
      <w:r w:rsidRPr="16D0F8A3">
        <w:rPr>
          <w:rFonts w:ascii="Times New Roman" w:eastAsia="Times New Roman" w:hAnsi="Times New Roman"/>
          <w:b/>
          <w:bCs/>
          <w:color w:val="000000" w:themeColor="text1"/>
          <w:sz w:val="26"/>
          <w:szCs w:val="26"/>
        </w:rPr>
        <w:t>Processo TC 005.333/2012-1</w:t>
      </w:r>
      <w:r w:rsidRPr="16D0F8A3">
        <w:rPr>
          <w:rFonts w:ascii="Times New Roman" w:eastAsia="Times New Roman" w:hAnsi="Times New Roman"/>
          <w:color w:val="000000" w:themeColor="text1"/>
          <w:sz w:val="26"/>
          <w:szCs w:val="26"/>
        </w:rPr>
        <w:t xml:space="preserve">, </w:t>
      </w:r>
      <w:r w:rsidRPr="16D0F8A3">
        <w:rPr>
          <w:rFonts w:ascii="Times New Roman" w:eastAsia="Times New Roman" w:hAnsi="Times New Roman"/>
          <w:b/>
          <w:bCs/>
          <w:color w:val="000000" w:themeColor="text1"/>
          <w:sz w:val="26"/>
          <w:szCs w:val="26"/>
        </w:rPr>
        <w:t>reconheceu que a Gratificação de Executante de Mandados não era devida a todos os Oficiais de Justiça</w:t>
      </w:r>
      <w:r w:rsidRPr="16D0F8A3">
        <w:rPr>
          <w:rFonts w:ascii="Times New Roman" w:eastAsia="Times New Roman" w:hAnsi="Times New Roman"/>
          <w:color w:val="000000" w:themeColor="text1"/>
          <w:sz w:val="26"/>
          <w:szCs w:val="26"/>
        </w:rPr>
        <w:t>, conforme o Acórdão n° 7758/2015, publicado em 22/09/2015, que reiterou o entendimento exarado no Acórdão n° 7097/2014, confirmando que, diante da existência de portaria de designação à função comissionada, é legal a incorporação de quintos/décimos:</w:t>
      </w:r>
    </w:p>
    <w:p w14:paraId="1FB683B0" w14:textId="561DFBBE"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6F0AA25E" w14:textId="20367F99" w:rsidR="0D1069A5" w:rsidRDefault="5CD44550" w:rsidP="16D0F8A3">
      <w:pPr>
        <w:spacing w:after="0" w:line="240" w:lineRule="auto"/>
        <w:ind w:left="1701"/>
        <w:jc w:val="both"/>
        <w:rPr>
          <w:rFonts w:ascii="Times New Roman" w:eastAsia="Times New Roman" w:hAnsi="Times New Roman"/>
          <w:color w:val="000000" w:themeColor="text1"/>
          <w:sz w:val="20"/>
          <w:szCs w:val="20"/>
        </w:rPr>
      </w:pPr>
      <w:r w:rsidRPr="16D0F8A3">
        <w:rPr>
          <w:rFonts w:ascii="Times New Roman" w:eastAsia="Times New Roman" w:hAnsi="Times New Roman"/>
          <w:color w:val="000000" w:themeColor="text1"/>
          <w:sz w:val="20"/>
          <w:szCs w:val="20"/>
        </w:rPr>
        <w:t xml:space="preserve">APOSENTADORIAS. PAGAMENTO DE PARCELAS DE QUINTOS DA FUNÇÃO DE EXECUTANTE DE MANDADOS, SEM PORTARIA DE DESIGNAÇÃO PARA A OCUPAÇÃO DA REFERIDA FUNÇÃO DE CONFIANÇA. ILEGALIDADE. </w:t>
      </w:r>
      <w:r w:rsidRPr="16D0F8A3">
        <w:rPr>
          <w:rFonts w:ascii="Times New Roman" w:eastAsia="Times New Roman" w:hAnsi="Times New Roman"/>
          <w:color w:val="000000" w:themeColor="text1"/>
          <w:sz w:val="20"/>
          <w:szCs w:val="20"/>
        </w:rPr>
        <w:lastRenderedPageBreak/>
        <w:t>PEDIDO DE REEXAME. ARGUMENTOS INSUFICIENTES PARA A ALTERAÇÃO DO ACÓRDÃO RECORRIDO. CONHECIMENTO. NEGATIVA DE PROVIMENTO.</w:t>
      </w:r>
    </w:p>
    <w:p w14:paraId="6C957CAB" w14:textId="09E2C128" w:rsidR="0D1069A5" w:rsidRDefault="5CD44550"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VISTOS, relatados e discutidos estes autos que tratam de pedidos de reexame interpostos por Maria José Bezerra e Valdenice Alexandre da Silva contra o Acórdão 7.097/2014-TCU-2ª Câmara que considerou ilegais os respectivos atos de aposentadoria em razão da incorporação de quintos decorrentes da função de confiança de executante de mandatos sem as correspondentes portarias de designação para as ocupações das referidas funções;</w:t>
      </w:r>
    </w:p>
    <w:p w14:paraId="317E4343" w14:textId="4D92DFA1" w:rsidR="0D1069A5" w:rsidRDefault="5CD44550"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ACORDAM os Ministros do Tribunal de Contas da União, reunidos em Sessão da 2ª Câmara, ante as razões expostas pelo Relator, e com fundamento no 48 da Lei 8.443/1992, em:</w:t>
      </w:r>
    </w:p>
    <w:p w14:paraId="1A21BB8D" w14:textId="53D95D04" w:rsidR="0D1069A5" w:rsidRDefault="5CD44550"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9.1. conhecer dos presentes recursos, para, no mérito, negar-lhes provimento, mantendo-se inalterado o acórdão recorrido;</w:t>
      </w:r>
    </w:p>
    <w:p w14:paraId="40C45806" w14:textId="71A9BE7E" w:rsidR="0D1069A5" w:rsidRDefault="5CD44550"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9.2. dar ciência desta deliberação às recorrentes e ao órgão interessado.</w:t>
      </w:r>
    </w:p>
    <w:p w14:paraId="4396F4F6" w14:textId="18A00752" w:rsidR="0D1069A5" w:rsidRDefault="5CD44550"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w:t>
      </w:r>
    </w:p>
    <w:p w14:paraId="4C1C9914" w14:textId="496BDFFF" w:rsidR="0D1069A5" w:rsidRDefault="5CD44550"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4.5. As funções de confiança são vocacionadas para serem ocupadas em caráter transitório por pessoa de confiança da autoridade competente para preenchê-las, a qual também pode exonerar ad nutum os seus ocupantes.</w:t>
      </w:r>
    </w:p>
    <w:p w14:paraId="363CB885" w14:textId="7DE88FB3" w:rsidR="0D1069A5" w:rsidRDefault="5CD44550"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4.6. É dizer: nas funções de confiança, em comparação com os cargos de provimento efetivo, existe um requisito adicional, um plus, para a sua ocupação: a fidúcia entre a autoridade competente para a nomeação e o seu ocupante.</w:t>
      </w:r>
    </w:p>
    <w:p w14:paraId="2DB64404" w14:textId="32541AC1" w:rsidR="0D1069A5" w:rsidRDefault="5CD44550"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4.7. </w:t>
      </w:r>
      <w:r w:rsidRPr="16D0F8A3">
        <w:rPr>
          <w:rFonts w:ascii="Times New Roman" w:eastAsia="Times New Roman" w:hAnsi="Times New Roman"/>
          <w:b/>
          <w:bCs/>
          <w:color w:val="000000" w:themeColor="text1"/>
        </w:rPr>
        <w:t>Assim, o argumento de que a função de confiança de “Execução de Mandados” é inerente ao cargo de provimento efetivo de “Analista Judiciário – Especialidade Execução de Mandados” não pode ser aceita.</w:t>
      </w:r>
    </w:p>
    <w:p w14:paraId="622B22B7" w14:textId="6385E40E" w:rsidR="0D1069A5" w:rsidRDefault="5CD44550"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4.8. O entendimento supra é confirmado pela Portaria 553, de 27/11/2008, da Justiça Federal de Primeiro Grau, Seção Judiciária de Pernambuco (peça 43, p. 123), que assim dispôs:</w:t>
      </w:r>
    </w:p>
    <w:p w14:paraId="4F828EE1" w14:textId="45555AEB" w:rsidR="0D1069A5" w:rsidRDefault="5CD44550"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DISPENSAR os servidores ocupantes dos cargos de Analista Judiciário da Área Judiciária com especialidade em execução de mandados, citados no anexo desta Portaria, das funções comissionadas de Executantes de Mandados (Código FC-05), das respectivas Varas, com efeito a partir de 1º de dezembro do ano em curso.</w:t>
      </w:r>
    </w:p>
    <w:p w14:paraId="328053FD" w14:textId="3DC027E3" w:rsidR="0D1069A5" w:rsidRDefault="5CD44550"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4.9. </w:t>
      </w:r>
      <w:r w:rsidRPr="16D0F8A3">
        <w:rPr>
          <w:rFonts w:ascii="Times New Roman" w:eastAsia="Times New Roman" w:hAnsi="Times New Roman"/>
          <w:b/>
          <w:bCs/>
          <w:color w:val="000000" w:themeColor="text1"/>
        </w:rPr>
        <w:t>De fato, se há Analistas Judiciários – Especialidade Execução de Mandados dispensados da função comissionada de Executantes de Mandados, é porque a referida função comissionada não é inerente ao aludido cargo efetivo.</w:t>
      </w:r>
    </w:p>
    <w:p w14:paraId="197224B3" w14:textId="11B200A2" w:rsidR="0D1069A5" w:rsidRDefault="5CD44550"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b/>
          <w:bCs/>
          <w:color w:val="000000" w:themeColor="text1"/>
        </w:rPr>
        <w:t>4.10. Assim, para a ocupação da função de confiança de “Execução de Mandados”, é indispensável a publicação da correspondente portaria de nomeação, o que não ocorreu no caso das recorrentes</w:t>
      </w:r>
      <w:r w:rsidRPr="16D0F8A3">
        <w:rPr>
          <w:rFonts w:ascii="Times New Roman" w:eastAsia="Times New Roman" w:hAnsi="Times New Roman"/>
          <w:color w:val="000000" w:themeColor="text1"/>
        </w:rPr>
        <w:t>.</w:t>
      </w:r>
    </w:p>
    <w:p w14:paraId="72C96D29" w14:textId="1B9B16A9" w:rsidR="0D1069A5" w:rsidRDefault="5CD44550"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4.11. Nessa ordem de ideias, é de se negar provimento ao presente pedido de reexame. (...) (grifou-se)</w:t>
      </w:r>
    </w:p>
    <w:p w14:paraId="5CE84561" w14:textId="62DC50BE" w:rsidR="0D1069A5" w:rsidRDefault="5CD44550" w:rsidP="16D0F8A3">
      <w:pPr>
        <w:spacing w:after="0" w:line="240" w:lineRule="auto"/>
        <w:ind w:right="15" w:firstLine="169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(TC 005.333/2012-1. Relator Vital do Rêgo)</w:t>
      </w:r>
    </w:p>
    <w:p w14:paraId="3E30FE89" w14:textId="01FEEBB8"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5A3A72F2" w14:textId="7381F287" w:rsidR="0D1069A5" w:rsidRDefault="5CD44550"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Evidente o equívoco do TCU no Acórdão 2784/2016, que analisou superficialmente a questão, contrariando os pareceres de sua unidade técnica e do Ministério Público junto ao TCU, além de ir contra pronunciamento anterior da Corte de Contas.</w:t>
      </w:r>
    </w:p>
    <w:p w14:paraId="0DAAC87D" w14:textId="6A6B51F5" w:rsidR="0D1069A5" w:rsidRDefault="5CD44550"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3620FE76" w14:textId="2F209F18" w:rsidR="0D1069A5" w:rsidRDefault="5CD44550"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lastRenderedPageBreak/>
        <w:t xml:space="preserve">Diversamente do aduzido pela Corte de Contas, portanto, a retribuição discutida guardava, sim, o necessário elemento da fidúcia, que </w:t>
      </w:r>
      <w:r w:rsidRPr="16D0F8A3">
        <w:rPr>
          <w:rFonts w:ascii="Times New Roman" w:eastAsia="Times New Roman" w:hAnsi="Times New Roman"/>
          <w:b/>
          <w:bCs/>
          <w:color w:val="000000" w:themeColor="text1"/>
          <w:sz w:val="26"/>
          <w:szCs w:val="26"/>
        </w:rPr>
        <w:t>não lhe conferia o caráter geral e abstrato</w:t>
      </w:r>
      <w:r w:rsidRPr="16D0F8A3">
        <w:rPr>
          <w:rFonts w:ascii="Times New Roman" w:eastAsia="Times New Roman" w:hAnsi="Times New Roman"/>
          <w:color w:val="000000" w:themeColor="text1"/>
          <w:sz w:val="26"/>
          <w:szCs w:val="26"/>
        </w:rPr>
        <w:t>.</w:t>
      </w:r>
    </w:p>
    <w:p w14:paraId="6905A5F0" w14:textId="0F3C34AD"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102A79CB" w14:textId="7D872D5E" w:rsidR="0D1069A5" w:rsidRDefault="5CD44550" w:rsidP="373D5F8C">
      <w:pPr>
        <w:spacing w:after="0" w:line="240" w:lineRule="auto"/>
        <w:ind w:right="15" w:firstLine="1695"/>
        <w:jc w:val="both"/>
        <w:rPr>
          <w:rFonts w:ascii="Times New Roman" w:eastAsia="Times New Roman" w:hAnsi="Times New Roman"/>
          <w:color w:val="000000" w:themeColor="text1"/>
          <w:sz w:val="26"/>
          <w:szCs w:val="26"/>
        </w:rPr>
      </w:pPr>
      <w:r w:rsidRPr="163427A8">
        <w:rPr>
          <w:rFonts w:ascii="Times New Roman" w:eastAsia="Times New Roman" w:hAnsi="Times New Roman"/>
          <w:color w:val="000000" w:themeColor="text1"/>
          <w:sz w:val="26"/>
          <w:szCs w:val="26"/>
        </w:rPr>
        <w:t xml:space="preserve"> A título exemplificativo, no âmbito da </w:t>
      </w:r>
      <w:r w:rsidRPr="163427A8">
        <w:rPr>
          <w:rFonts w:ascii="Times New Roman" w:eastAsia="Times New Roman" w:hAnsi="Times New Roman"/>
          <w:b/>
          <w:bCs/>
          <w:color w:val="000000" w:themeColor="text1"/>
          <w:sz w:val="26"/>
          <w:szCs w:val="26"/>
        </w:rPr>
        <w:t>Justiça Federal</w:t>
      </w:r>
      <w:r w:rsidRPr="163427A8">
        <w:rPr>
          <w:rFonts w:ascii="Times New Roman" w:eastAsia="Times New Roman" w:hAnsi="Times New Roman"/>
          <w:color w:val="000000" w:themeColor="text1"/>
          <w:sz w:val="26"/>
          <w:szCs w:val="26"/>
        </w:rPr>
        <w:t xml:space="preserve">, as funções de Executante de Mandados foram criadas pelo </w:t>
      </w:r>
      <w:r w:rsidRPr="163427A8">
        <w:rPr>
          <w:rFonts w:ascii="Times New Roman" w:eastAsia="Times New Roman" w:hAnsi="Times New Roman"/>
          <w:b/>
          <w:bCs/>
          <w:color w:val="000000" w:themeColor="text1"/>
          <w:sz w:val="26"/>
          <w:szCs w:val="26"/>
        </w:rPr>
        <w:t>Ato Regulamentar CJF nº 641</w:t>
      </w:r>
      <w:r w:rsidRPr="163427A8">
        <w:rPr>
          <w:rFonts w:ascii="Times New Roman" w:eastAsia="Times New Roman" w:hAnsi="Times New Roman"/>
          <w:color w:val="000000" w:themeColor="text1"/>
          <w:sz w:val="26"/>
          <w:szCs w:val="26"/>
        </w:rPr>
        <w:t>, de 1987, que eram retribuídos na forma de Gratificação de Representação de Gabinete (com natureza jurídica de função de confiança). Note-se que, conforme dispõe o ato, as designações para a função de Executante de Mandados não aconteciam de forma automática, mas dependiam de ato do Diretor do Foro da respectiva Seção Judiciária, após a indicação do Juiz Federal</w:t>
      </w:r>
      <w:r w:rsidR="0D1069A5" w:rsidRPr="163427A8">
        <w:rPr>
          <w:rStyle w:val="Refdenotaderodap"/>
          <w:rFonts w:ascii="Times New Roman" w:eastAsia="Times New Roman" w:hAnsi="Times New Roman"/>
          <w:color w:val="000000" w:themeColor="text1"/>
          <w:sz w:val="26"/>
          <w:szCs w:val="26"/>
        </w:rPr>
        <w:footnoteReference w:id="3"/>
      </w:r>
      <w:r w:rsidRPr="163427A8">
        <w:rPr>
          <w:rFonts w:ascii="Times New Roman" w:eastAsia="Times New Roman" w:hAnsi="Times New Roman"/>
          <w:color w:val="000000" w:themeColor="text1"/>
          <w:sz w:val="26"/>
          <w:szCs w:val="26"/>
        </w:rPr>
        <w:t>.</w:t>
      </w:r>
    </w:p>
    <w:p w14:paraId="5B264025" w14:textId="0C17AC9E"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30A30814" w14:textId="0C20E74E" w:rsidR="0D1069A5" w:rsidRDefault="5CD44550" w:rsidP="373D5F8C">
      <w:pPr>
        <w:spacing w:after="0" w:line="240" w:lineRule="auto"/>
        <w:ind w:right="15" w:firstLine="1695"/>
        <w:jc w:val="both"/>
        <w:rPr>
          <w:rFonts w:ascii="Times New Roman" w:eastAsia="Times New Roman" w:hAnsi="Times New Roman"/>
          <w:color w:val="000000" w:themeColor="text1"/>
          <w:sz w:val="26"/>
          <w:szCs w:val="26"/>
        </w:rPr>
      </w:pPr>
      <w:r w:rsidRPr="373D5F8C">
        <w:rPr>
          <w:rFonts w:ascii="Times New Roman" w:eastAsia="Times New Roman" w:hAnsi="Times New Roman"/>
          <w:color w:val="000000" w:themeColor="text1"/>
          <w:sz w:val="26"/>
          <w:szCs w:val="26"/>
        </w:rPr>
        <w:t xml:space="preserve">Ao contrário do que afirma o Acórdão 2784/2016/TCU-Plenário, apenas alguns oficiais de justiça eram designados para a função de Executante de Mandados. Além disso, esta parcela não se dirigia ao exercício das atribuições efetivas do cargo, mas estabelecia encargos adicionais. </w:t>
      </w:r>
      <w:r w:rsidR="7E6E25D6" w:rsidRPr="373D5F8C">
        <w:rPr>
          <w:rFonts w:ascii="Times New Roman" w:eastAsia="Times New Roman" w:hAnsi="Times New Roman"/>
          <w:color w:val="000000" w:themeColor="text1"/>
          <w:sz w:val="26"/>
          <w:szCs w:val="26"/>
        </w:rPr>
        <w:t>A função de confiança Executante de Mandados apresentava os seguintes requisitos de validade:</w:t>
      </w:r>
    </w:p>
    <w:p w14:paraId="4A853179" w14:textId="680DDFAF" w:rsidR="373D5F8C" w:rsidRDefault="373D5F8C" w:rsidP="373D5F8C">
      <w:pPr>
        <w:spacing w:after="0" w:line="240" w:lineRule="auto"/>
        <w:ind w:right="15" w:firstLine="1695"/>
        <w:jc w:val="both"/>
        <w:rPr>
          <w:rFonts w:ascii="Times New Roman" w:eastAsia="Times New Roman" w:hAnsi="Times New Roman"/>
          <w:color w:val="000000" w:themeColor="text1"/>
          <w:sz w:val="26"/>
          <w:szCs w:val="26"/>
        </w:rPr>
      </w:pPr>
    </w:p>
    <w:p w14:paraId="52C939A3" w14:textId="2CA10ECA" w:rsidR="7E6E25D6" w:rsidRDefault="7E6E25D6" w:rsidP="373D5F8C">
      <w:pPr>
        <w:pStyle w:val="PargrafodaLista"/>
        <w:numPr>
          <w:ilvl w:val="0"/>
          <w:numId w:val="1"/>
        </w:numPr>
        <w:spacing w:after="0" w:line="240" w:lineRule="auto"/>
        <w:ind w:left="2058" w:right="15" w:hanging="363"/>
        <w:jc w:val="both"/>
        <w:rPr>
          <w:rFonts w:ascii="Times New Roman" w:eastAsia="Times New Roman" w:hAnsi="Times New Roman"/>
          <w:color w:val="000000" w:themeColor="text1"/>
          <w:sz w:val="26"/>
          <w:szCs w:val="26"/>
        </w:rPr>
      </w:pPr>
      <w:r w:rsidRPr="373D5F8C">
        <w:rPr>
          <w:rFonts w:ascii="Times New Roman" w:eastAsia="Times New Roman" w:hAnsi="Times New Roman"/>
          <w:color w:val="000000" w:themeColor="text1"/>
          <w:sz w:val="26"/>
          <w:szCs w:val="26"/>
        </w:rPr>
        <w:t>Função estabelecida mediante normas reguladoras específicas, denominada, quantificada e destinada legalmente às Secretarias Federais no próprio Ato que as criava, guardando proporcionalidade com a necessidade que visavam cumprir, não sendo, portanto, criada de forma   indiscriminada (art.   5º   da   Lei Complementar nº 10/71). Era o interesse da administração dos Tribunais Federais em assegurar eficiência e eficácia administrativas que exigia a criação de determinado quantitativo de funções de confiança, obedecendo-se aos planos de orçamentos anuais que foram previamente aprovados;</w:t>
      </w:r>
    </w:p>
    <w:p w14:paraId="1531FE81" w14:textId="53D36114" w:rsidR="373D5F8C" w:rsidRDefault="373D5F8C" w:rsidP="373D5F8C">
      <w:pPr>
        <w:spacing w:after="0" w:line="240" w:lineRule="auto"/>
        <w:ind w:left="2058" w:right="15" w:hanging="363"/>
        <w:jc w:val="both"/>
        <w:rPr>
          <w:rFonts w:ascii="Times New Roman" w:eastAsia="Times New Roman" w:hAnsi="Times New Roman"/>
          <w:color w:val="000000" w:themeColor="text1"/>
          <w:sz w:val="26"/>
          <w:szCs w:val="26"/>
        </w:rPr>
      </w:pPr>
    </w:p>
    <w:p w14:paraId="7DF8C7B7" w14:textId="0898B036" w:rsidR="7E6E25D6" w:rsidRDefault="7E6E25D6" w:rsidP="373D5F8C">
      <w:pPr>
        <w:pStyle w:val="PargrafodaLista"/>
        <w:numPr>
          <w:ilvl w:val="0"/>
          <w:numId w:val="1"/>
        </w:numPr>
        <w:spacing w:after="0" w:line="240" w:lineRule="auto"/>
        <w:ind w:left="2058" w:right="15" w:hanging="363"/>
        <w:jc w:val="both"/>
        <w:rPr>
          <w:rFonts w:ascii="Times New Roman" w:eastAsia="Times New Roman" w:hAnsi="Times New Roman"/>
          <w:color w:val="000000" w:themeColor="text1"/>
          <w:sz w:val="26"/>
          <w:szCs w:val="26"/>
        </w:rPr>
      </w:pPr>
      <w:r w:rsidRPr="373D5F8C">
        <w:rPr>
          <w:rFonts w:ascii="Times New Roman" w:eastAsia="Times New Roman" w:hAnsi="Times New Roman"/>
          <w:color w:val="000000" w:themeColor="text1"/>
          <w:sz w:val="26"/>
          <w:szCs w:val="26"/>
        </w:rPr>
        <w:t xml:space="preserve">Função com finalidade: era um acréscimo de atividades de caráter administrativo correlatas ao cargo de Oficial de Justiça Avaliador. Correspondeu, inicialmente, a uma espécie do gênero Funções de Representação de Gabinete (ver Anexo I do Ato 641/87), também denominadas Funções de Encargos de Gabinete (ver Resolução 10/89, do CJF). Posteriormente, com o advento </w:t>
      </w:r>
      <w:r w:rsidRPr="373D5F8C">
        <w:rPr>
          <w:rFonts w:ascii="Times New Roman" w:eastAsia="Times New Roman" w:hAnsi="Times New Roman"/>
          <w:color w:val="000000" w:themeColor="text1"/>
          <w:sz w:val="26"/>
          <w:szCs w:val="26"/>
        </w:rPr>
        <w:lastRenderedPageBreak/>
        <w:t>da Lei 8.911/94 (que trouxe eficácia ao art. 62, da Lei 8.112/90 e definiu as funções de direção, chefia e assessoramento), foi equiparada, pela Resolução 128/94, do CJF, às funções de direção, chefia e assessoramento constantes no Anexo da Lei 8.911/94, no tocante à remuneração das funções de Representação de Gabinete e sua incorporação. Por fim, com a Lei 9.421/96, a função de Executante de Mandados (assim como as demais funções de confiança) passou a integrar o Quadro das Funções Comissionadas do Poder Judiciário da União (como Função Comissionada-FC-05), que compreendiam atividades de direção, chefia e assessoramento (ver artigo 9º da Lei 9.421/96);</w:t>
      </w:r>
    </w:p>
    <w:p w14:paraId="05C09D6B" w14:textId="44285847" w:rsidR="373D5F8C" w:rsidRDefault="373D5F8C" w:rsidP="373D5F8C">
      <w:pPr>
        <w:spacing w:after="0" w:line="240" w:lineRule="auto"/>
        <w:ind w:left="2058" w:right="15" w:hanging="363"/>
        <w:jc w:val="both"/>
        <w:rPr>
          <w:rFonts w:ascii="Times New Roman" w:eastAsia="Times New Roman" w:hAnsi="Times New Roman"/>
          <w:color w:val="000000" w:themeColor="text1"/>
          <w:sz w:val="26"/>
          <w:szCs w:val="26"/>
        </w:rPr>
      </w:pPr>
    </w:p>
    <w:p w14:paraId="02694E3D" w14:textId="3C48F898" w:rsidR="7E6E25D6" w:rsidRDefault="7E6E25D6" w:rsidP="373D5F8C">
      <w:pPr>
        <w:pStyle w:val="PargrafodaLista"/>
        <w:numPr>
          <w:ilvl w:val="0"/>
          <w:numId w:val="1"/>
        </w:numPr>
        <w:spacing w:after="0" w:line="240" w:lineRule="auto"/>
        <w:ind w:left="2058" w:right="15" w:hanging="363"/>
        <w:jc w:val="both"/>
        <w:rPr>
          <w:rFonts w:ascii="Times New Roman" w:eastAsia="Times New Roman" w:hAnsi="Times New Roman"/>
          <w:color w:val="000000" w:themeColor="text1"/>
          <w:sz w:val="26"/>
          <w:szCs w:val="26"/>
        </w:rPr>
      </w:pPr>
      <w:r w:rsidRPr="373D5F8C">
        <w:rPr>
          <w:rFonts w:ascii="Times New Roman" w:eastAsia="Times New Roman" w:hAnsi="Times New Roman"/>
          <w:color w:val="000000" w:themeColor="text1"/>
          <w:sz w:val="26"/>
          <w:szCs w:val="26"/>
        </w:rPr>
        <w:t>Função exclusiva dos Oficiais de Justiça Avaliadores no efetivo exercício das atribuições inerentes e próprias do cargo (inc. V, art.3º, do Ato 641/87). Isso significa dizer que: só poderia exercer a função de Executante de Mandados o servidor ocupante do cargo de Oficial de Justiça Avaliador. Nesse sentido, o Oficial de Justiça Avaliador designado para o exercício da função de Executante de Mandados deveria cumprir as atribuições de seu cargo (função típica) e deveria também executaras atividades correlatas, acrescidas ao cargo (função atípica);</w:t>
      </w:r>
    </w:p>
    <w:p w14:paraId="7168AACE" w14:textId="1512D4B3" w:rsidR="373D5F8C" w:rsidRDefault="373D5F8C" w:rsidP="373D5F8C">
      <w:pPr>
        <w:spacing w:after="0" w:line="240" w:lineRule="auto"/>
        <w:ind w:left="2058" w:right="15" w:hanging="363"/>
        <w:jc w:val="both"/>
        <w:rPr>
          <w:rFonts w:ascii="Times New Roman" w:eastAsia="Times New Roman" w:hAnsi="Times New Roman"/>
          <w:color w:val="000000" w:themeColor="text1"/>
          <w:sz w:val="26"/>
          <w:szCs w:val="26"/>
        </w:rPr>
      </w:pPr>
    </w:p>
    <w:p w14:paraId="4F0775A5" w14:textId="621C7C2B" w:rsidR="7E6E25D6" w:rsidRDefault="7E6E25D6" w:rsidP="373D5F8C">
      <w:pPr>
        <w:pStyle w:val="PargrafodaLista"/>
        <w:numPr>
          <w:ilvl w:val="0"/>
          <w:numId w:val="1"/>
        </w:numPr>
        <w:spacing w:after="0" w:line="240" w:lineRule="auto"/>
        <w:ind w:left="2058" w:right="15" w:hanging="363"/>
        <w:jc w:val="both"/>
        <w:rPr>
          <w:rFonts w:ascii="Times New Roman" w:eastAsia="Times New Roman" w:hAnsi="Times New Roman"/>
          <w:color w:val="000000" w:themeColor="text1"/>
          <w:sz w:val="26"/>
          <w:szCs w:val="26"/>
        </w:rPr>
      </w:pPr>
      <w:r w:rsidRPr="373D5F8C">
        <w:rPr>
          <w:rFonts w:ascii="Times New Roman" w:eastAsia="Times New Roman" w:hAnsi="Times New Roman"/>
          <w:color w:val="000000" w:themeColor="text1"/>
          <w:sz w:val="26"/>
          <w:szCs w:val="26"/>
        </w:rPr>
        <w:t>Função de livre designação e exoneração, não havendo direito subjetivo do Oficial de Justiça Avaliador à função comissionada. Para exercer a função de Executante de Mandados, o Oficia</w:t>
      </w:r>
      <w:r w:rsidR="250547DE" w:rsidRPr="373D5F8C">
        <w:rPr>
          <w:rFonts w:ascii="Times New Roman" w:eastAsia="Times New Roman" w:hAnsi="Times New Roman"/>
          <w:color w:val="000000" w:themeColor="text1"/>
          <w:sz w:val="26"/>
          <w:szCs w:val="26"/>
        </w:rPr>
        <w:t>l</w:t>
      </w:r>
      <w:r w:rsidRPr="373D5F8C">
        <w:rPr>
          <w:rFonts w:ascii="Times New Roman" w:eastAsia="Times New Roman" w:hAnsi="Times New Roman"/>
          <w:color w:val="000000" w:themeColor="text1"/>
          <w:sz w:val="26"/>
          <w:szCs w:val="26"/>
        </w:rPr>
        <w:t xml:space="preserve"> de Justiça Avaliador precisava ser designado, pelo Juiz-Diretor do Foro da respectiva Seção Judiciária, a exercer a função, após indicação do Juiz Federal a que estivesse subordinado (art.3º, do Ato 641/87, do CJF). O Juiz Federal só indicava o Oficial de Justiça Avaliador ao exercício da função após a criação de um vínculo de confiança. A indicação, a designação e a exoneração da função eram atos discricionários do Juiz Federal Titular da Vara e do Juiz-Diretor do Foro e não precisavam de motivação</w:t>
      </w:r>
    </w:p>
    <w:p w14:paraId="14C1EC57" w14:textId="0B366FB2" w:rsidR="373D5F8C" w:rsidRDefault="373D5F8C" w:rsidP="373D5F8C">
      <w:pPr>
        <w:spacing w:after="0" w:line="240" w:lineRule="auto"/>
        <w:ind w:left="2058" w:right="15" w:hanging="363"/>
        <w:jc w:val="both"/>
        <w:rPr>
          <w:rFonts w:ascii="Times New Roman" w:eastAsia="Times New Roman" w:hAnsi="Times New Roman"/>
          <w:color w:val="000000" w:themeColor="text1"/>
          <w:sz w:val="26"/>
          <w:szCs w:val="26"/>
        </w:rPr>
      </w:pPr>
    </w:p>
    <w:p w14:paraId="1FD58D7F" w14:textId="74E22870" w:rsidR="7E6E25D6" w:rsidRDefault="7E6E25D6" w:rsidP="373D5F8C">
      <w:pPr>
        <w:pStyle w:val="PargrafodaLista"/>
        <w:numPr>
          <w:ilvl w:val="0"/>
          <w:numId w:val="1"/>
        </w:numPr>
        <w:spacing w:after="0" w:line="240" w:lineRule="auto"/>
        <w:ind w:left="2058" w:right="15" w:hanging="363"/>
        <w:jc w:val="both"/>
        <w:rPr>
          <w:rFonts w:ascii="Times New Roman" w:eastAsia="Times New Roman" w:hAnsi="Times New Roman"/>
          <w:color w:val="000000" w:themeColor="text1"/>
          <w:sz w:val="26"/>
          <w:szCs w:val="26"/>
        </w:rPr>
      </w:pPr>
      <w:r w:rsidRPr="373D5F8C">
        <w:rPr>
          <w:rFonts w:ascii="Times New Roman" w:eastAsia="Times New Roman" w:hAnsi="Times New Roman"/>
          <w:color w:val="000000" w:themeColor="text1"/>
          <w:sz w:val="26"/>
          <w:szCs w:val="26"/>
        </w:rPr>
        <w:t>Função que abrangia encargos estabelecidos no Ato 288/74, do CJF, e exigidos no art. 147 da Lei 1.711/52 (Estatuto dos Funcionários Públicos Civis da União). As atividades da função de Executante de Mandados não foram especificadas no Ato 641/87</w:t>
      </w:r>
      <w:r w:rsidR="127F7A57" w:rsidRPr="373D5F8C">
        <w:rPr>
          <w:rFonts w:ascii="Times New Roman" w:eastAsia="Times New Roman" w:hAnsi="Times New Roman"/>
          <w:color w:val="000000" w:themeColor="text1"/>
          <w:sz w:val="26"/>
          <w:szCs w:val="26"/>
        </w:rPr>
        <w:t>; e</w:t>
      </w:r>
      <w:r w:rsidRPr="373D5F8C">
        <w:rPr>
          <w:rFonts w:ascii="Times New Roman" w:eastAsia="Times New Roman" w:hAnsi="Times New Roman"/>
          <w:color w:val="000000" w:themeColor="text1"/>
          <w:sz w:val="26"/>
          <w:szCs w:val="26"/>
        </w:rPr>
        <w:t xml:space="preserve">ram os Juízes Titulares das Varas que determinavam as atividades correlatas acrescidas ao cargo de Oficial de Justiça. Com a implantação das Centrais de Mandados, foram as portarias </w:t>
      </w:r>
      <w:r w:rsidRPr="373D5F8C">
        <w:rPr>
          <w:rFonts w:ascii="Times New Roman" w:eastAsia="Times New Roman" w:hAnsi="Times New Roman"/>
          <w:color w:val="000000" w:themeColor="text1"/>
          <w:sz w:val="26"/>
          <w:szCs w:val="26"/>
        </w:rPr>
        <w:lastRenderedPageBreak/>
        <w:t>expedidas pelos Juízes-Diretores dos Foros que especificaram muitas atividades da função. A alusão de que a  atividade  da  função de Executante de Mandados era “executar atividades inerentes e próprias do cargo de Oficial de Justiça Avaliador” está incompleta e não exprime a realidade dos fatos, vez que os Oficiais de Justiça Avaliadores designados a exercer a função de Executante de Mandados cumpriam as atribuições do cargo, executavam as atividades da função, estavam submetidos a  regime  integral  de  dedicação  ao  serviço (ver art.19, §1º, da Lei 8.112/90) e eram convocados a trabalhar  nos</w:t>
      </w:r>
      <w:r w:rsidR="71CFCE15" w:rsidRPr="373D5F8C">
        <w:rPr>
          <w:rFonts w:ascii="Times New Roman" w:eastAsia="Times New Roman" w:hAnsi="Times New Roman"/>
          <w:color w:val="000000" w:themeColor="text1"/>
          <w:sz w:val="26"/>
          <w:szCs w:val="26"/>
        </w:rPr>
        <w:t xml:space="preserve"> </w:t>
      </w:r>
      <w:r w:rsidRPr="373D5F8C">
        <w:rPr>
          <w:rFonts w:ascii="Times New Roman" w:eastAsia="Times New Roman" w:hAnsi="Times New Roman"/>
          <w:color w:val="000000" w:themeColor="text1"/>
          <w:sz w:val="26"/>
          <w:szCs w:val="26"/>
        </w:rPr>
        <w:t>plantões judiciários</w:t>
      </w:r>
      <w:r w:rsidR="4A1A6056" w:rsidRPr="373D5F8C">
        <w:rPr>
          <w:rFonts w:ascii="Times New Roman" w:eastAsia="Times New Roman" w:hAnsi="Times New Roman"/>
          <w:color w:val="000000" w:themeColor="text1"/>
          <w:sz w:val="26"/>
          <w:szCs w:val="26"/>
        </w:rPr>
        <w:t xml:space="preserve"> </w:t>
      </w:r>
      <w:r w:rsidRPr="373D5F8C">
        <w:rPr>
          <w:rFonts w:ascii="Times New Roman" w:eastAsia="Times New Roman" w:hAnsi="Times New Roman"/>
          <w:color w:val="000000" w:themeColor="text1"/>
          <w:sz w:val="26"/>
          <w:szCs w:val="26"/>
        </w:rPr>
        <w:t>(plantões diários, semanais e durante o recesso judiciário)</w:t>
      </w:r>
      <w:r w:rsidR="48912AFF" w:rsidRPr="373D5F8C">
        <w:rPr>
          <w:rFonts w:ascii="Times New Roman" w:eastAsia="Times New Roman" w:hAnsi="Times New Roman"/>
          <w:color w:val="000000" w:themeColor="text1"/>
          <w:sz w:val="26"/>
          <w:szCs w:val="26"/>
        </w:rPr>
        <w:t xml:space="preserve"> </w:t>
      </w:r>
      <w:r w:rsidRPr="373D5F8C">
        <w:rPr>
          <w:rFonts w:ascii="Times New Roman" w:eastAsia="Times New Roman" w:hAnsi="Times New Roman"/>
          <w:color w:val="000000" w:themeColor="text1"/>
          <w:sz w:val="26"/>
          <w:szCs w:val="26"/>
        </w:rPr>
        <w:t>da Justiça Federal.</w:t>
      </w:r>
    </w:p>
    <w:p w14:paraId="339F27E2" w14:textId="2A69A6EC" w:rsidR="373D5F8C" w:rsidRDefault="373D5F8C" w:rsidP="373D5F8C">
      <w:pPr>
        <w:spacing w:after="0" w:line="240" w:lineRule="auto"/>
        <w:ind w:right="15" w:firstLine="1695"/>
        <w:jc w:val="both"/>
        <w:rPr>
          <w:rFonts w:ascii="Times New Roman" w:eastAsia="Times New Roman" w:hAnsi="Times New Roman"/>
          <w:color w:val="000000" w:themeColor="text1"/>
          <w:sz w:val="26"/>
          <w:szCs w:val="26"/>
        </w:rPr>
      </w:pPr>
    </w:p>
    <w:p w14:paraId="3C6BF4CB" w14:textId="623D4AC5" w:rsidR="0D1069A5" w:rsidRDefault="5CD44550" w:rsidP="373D5F8C">
      <w:pPr>
        <w:spacing w:after="0" w:line="240" w:lineRule="auto"/>
        <w:ind w:right="15" w:firstLine="1695"/>
        <w:jc w:val="both"/>
        <w:rPr>
          <w:rFonts w:ascii="Times New Roman" w:eastAsia="Times New Roman" w:hAnsi="Times New Roman"/>
          <w:color w:val="000000" w:themeColor="text1"/>
          <w:sz w:val="26"/>
          <w:szCs w:val="26"/>
        </w:rPr>
      </w:pPr>
      <w:r w:rsidRPr="373D5F8C">
        <w:rPr>
          <w:rFonts w:ascii="Times New Roman" w:eastAsia="Times New Roman" w:hAnsi="Times New Roman"/>
          <w:color w:val="000000" w:themeColor="text1"/>
          <w:sz w:val="26"/>
          <w:szCs w:val="26"/>
        </w:rPr>
        <w:t>Conclui-se, dessa forma, que a função de Executante de Mandados sempre denotou natureza jurídica de função de confiança, foi equiparada à função de direção, chefia e assessoramento pela Resolução 128/94, do CJF, e a partir da Lei 9.421/96 ficou integrada ao Quadro de Pessoal das Funções Comissionadas do Poder Judiciário, compreendendo funções de direção, chefia e assessoramento.</w:t>
      </w:r>
    </w:p>
    <w:p w14:paraId="0B3A7229" w14:textId="28C80463"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177F69AA" w14:textId="722A4E9B" w:rsidR="0D1069A5" w:rsidRDefault="5CD44550" w:rsidP="16D0F8A3">
      <w:pPr>
        <w:spacing w:after="0" w:line="240" w:lineRule="auto"/>
        <w:ind w:right="15" w:firstLine="1695"/>
        <w:jc w:val="both"/>
        <w:rPr>
          <w:rFonts w:ascii="Times New Roman" w:eastAsia="Times New Roman" w:hAnsi="Times New Roman"/>
          <w:color w:val="000000" w:themeColor="text1"/>
          <w:sz w:val="26"/>
          <w:szCs w:val="26"/>
        </w:rPr>
      </w:pPr>
      <w:r w:rsidRPr="163427A8">
        <w:rPr>
          <w:rFonts w:ascii="Times New Roman" w:eastAsia="Times New Roman" w:hAnsi="Times New Roman"/>
          <w:color w:val="000000" w:themeColor="text1"/>
          <w:sz w:val="26"/>
          <w:szCs w:val="26"/>
        </w:rPr>
        <w:t>Cabe observar que, por força da Lei 8.868/1994, a Gratificação de Representação de Gabinete e as Funções Comissionadas foram substituídas pela Função Comissionada (FC-05), conforme dispõe o artigo 11</w:t>
      </w:r>
      <w:r w:rsidR="0D1069A5" w:rsidRPr="163427A8">
        <w:rPr>
          <w:rStyle w:val="Refdenotaderodap"/>
          <w:rFonts w:ascii="Times New Roman" w:eastAsia="Times New Roman" w:hAnsi="Times New Roman"/>
          <w:color w:val="000000" w:themeColor="text1"/>
          <w:sz w:val="26"/>
          <w:szCs w:val="26"/>
        </w:rPr>
        <w:footnoteReference w:id="4"/>
      </w:r>
      <w:r w:rsidRPr="163427A8">
        <w:rPr>
          <w:rFonts w:ascii="Times New Roman" w:eastAsia="Times New Roman" w:hAnsi="Times New Roman"/>
          <w:color w:val="000000" w:themeColor="text1"/>
          <w:sz w:val="26"/>
          <w:szCs w:val="26"/>
        </w:rPr>
        <w:t>.</w:t>
      </w:r>
    </w:p>
    <w:p w14:paraId="538778FA" w14:textId="7726919D" w:rsidR="0D1069A5" w:rsidRDefault="5CD44550"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26BC620F" w14:textId="590F02A8" w:rsidR="0D1069A5" w:rsidRDefault="5CD44550"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Com efeito, nem as Gratificações de Representação de Gabinete, nem as Funções Comissionadas compunham automática e irrestritamente a remuneração dos cargos efetivos de Oficial de Justiça, pelo contrário, dependiam de designação própria para ensejo à incorporação das parcelas. A incorporação da parcela somente ocorreria quando cumpridos os requisitos legais, previstos no então vigente artigo 62 da Lei 8.112/1990, na Lei 8.911/1994 e na Lei 9.421/1996, sendo que esta última estabelecia:</w:t>
      </w:r>
    </w:p>
    <w:p w14:paraId="631C651E" w14:textId="43F3EF3F" w:rsidR="0D1069A5" w:rsidRDefault="5CD44550"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2683EFDE" w14:textId="73EB5212" w:rsidR="0D1069A5" w:rsidRDefault="5CD44550" w:rsidP="16D0F8A3">
      <w:pPr>
        <w:spacing w:after="0" w:line="240" w:lineRule="auto"/>
        <w:ind w:left="1695" w:right="1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Art. 15. Aos servidores das carreiras judiciárias, ocupantes de Função Comissionada, </w:t>
      </w:r>
      <w:r w:rsidRPr="16D0F8A3">
        <w:rPr>
          <w:rFonts w:ascii="Times New Roman" w:eastAsia="Times New Roman" w:hAnsi="Times New Roman"/>
          <w:b/>
          <w:bCs/>
          <w:color w:val="000000" w:themeColor="text1"/>
        </w:rPr>
        <w:t>aplica-se a legislação geral de incorporação de parcela mensal da remuneração de cargo em comissão ou função de confiança.</w:t>
      </w:r>
      <w:r w:rsidRPr="16D0F8A3">
        <w:rPr>
          <w:rFonts w:ascii="Times New Roman" w:eastAsia="Times New Roman" w:hAnsi="Times New Roman"/>
          <w:color w:val="000000" w:themeColor="text1"/>
        </w:rPr>
        <w:t> </w:t>
      </w:r>
    </w:p>
    <w:p w14:paraId="01F30113" w14:textId="0B214493" w:rsidR="0D1069A5" w:rsidRDefault="5CD44550" w:rsidP="16D0F8A3">
      <w:pPr>
        <w:spacing w:after="0" w:line="240" w:lineRule="auto"/>
        <w:ind w:left="1695" w:right="1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w:t>
      </w:r>
    </w:p>
    <w:p w14:paraId="39B79F05" w14:textId="5BF2E5CB" w:rsidR="0D1069A5" w:rsidRDefault="5CD44550" w:rsidP="16D0F8A3">
      <w:pPr>
        <w:spacing w:after="0" w:line="240" w:lineRule="auto"/>
        <w:ind w:left="1695" w:right="1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 1° A incorporação a que tenham direito os integrantes das carreiras judiciárias, pelo exercício de cargo em comissão ou função de confiança em outro órgão ou </w:t>
      </w:r>
      <w:r w:rsidRPr="16D0F8A3">
        <w:rPr>
          <w:rFonts w:ascii="Times New Roman" w:eastAsia="Times New Roman" w:hAnsi="Times New Roman"/>
          <w:color w:val="000000" w:themeColor="text1"/>
        </w:rPr>
        <w:lastRenderedPageBreak/>
        <w:t>entidade da Administração Pública Federal direta, autárquica ou fundacional, terá por referência a Função Comissionada de valor igual ou imediatamente superior ao do cargo ou função exercida. (grifou-se)</w:t>
      </w:r>
    </w:p>
    <w:p w14:paraId="730C16D1" w14:textId="0D3279B0" w:rsidR="0D1069A5" w:rsidRDefault="5CD44550"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790D8AFB" w14:textId="5091FD29" w:rsidR="0D1069A5" w:rsidRDefault="5CD44550"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Logo, é equivocada a conclusão a que chegou o Tribunal de Contas da União no Acórdão 2784, de 2016, no sentido de que tanto a GRG quanto a FC-5, das quais se originaram as parcelas incorporadas pelos Oficiais, não possuíam natureza de função, por serem pagas a todos os ocupantes do cargo efetivo de Oficial de Justiça Avaliador Federal, e de que a designação não dependia da escolha da autoridade inerente aos ocupantes de função comissionada.</w:t>
      </w:r>
    </w:p>
    <w:p w14:paraId="70A21979" w14:textId="525C66FB" w:rsidR="0D1069A5" w:rsidRDefault="5CD44550"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51E47DAD" w14:textId="6811441A" w:rsidR="0D1069A5" w:rsidRDefault="5CD44550"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Assim, é possível demonstrar que, em realidade, a função desempenhada pelo</w:t>
      </w:r>
      <w:r w:rsidR="2A93A991" w:rsidRPr="16D0F8A3">
        <w:rPr>
          <w:rFonts w:ascii="Times New Roman" w:eastAsia="Times New Roman" w:hAnsi="Times New Roman"/>
          <w:color w:val="000000" w:themeColor="text1"/>
          <w:sz w:val="26"/>
          <w:szCs w:val="26"/>
        </w:rPr>
        <w:t xml:space="preserve"> servidor</w:t>
      </w:r>
      <w:r w:rsidRPr="16D0F8A3">
        <w:rPr>
          <w:rFonts w:ascii="Times New Roman" w:eastAsia="Times New Roman" w:hAnsi="Times New Roman"/>
          <w:color w:val="000000" w:themeColor="text1"/>
          <w:sz w:val="26"/>
          <w:szCs w:val="26"/>
        </w:rPr>
        <w:t xml:space="preserve"> se enquadrava na hipótese legal, tendo ele preenchido os requisitos temporais necessários à incorporação (fato não controvertido), de modo que é devida a incorporação das parcelas. Veja-se que esta incorporação foi resultado de atos praticados </w:t>
      </w:r>
      <w:r w:rsidRPr="16D0F8A3">
        <w:rPr>
          <w:rFonts w:ascii="Times New Roman" w:eastAsia="Times New Roman" w:hAnsi="Times New Roman"/>
          <w:b/>
          <w:bCs/>
          <w:color w:val="000000" w:themeColor="text1"/>
          <w:sz w:val="26"/>
          <w:szCs w:val="26"/>
        </w:rPr>
        <w:t>há mais 20 anos</w:t>
      </w:r>
      <w:r w:rsidRPr="16D0F8A3">
        <w:rPr>
          <w:rFonts w:ascii="Times New Roman" w:eastAsia="Times New Roman" w:hAnsi="Times New Roman"/>
          <w:color w:val="000000" w:themeColor="text1"/>
          <w:sz w:val="26"/>
          <w:szCs w:val="26"/>
        </w:rPr>
        <w:t>, estando incorporada ao</w:t>
      </w:r>
      <w:r w:rsidR="45C4A621" w:rsidRPr="16D0F8A3">
        <w:rPr>
          <w:rFonts w:ascii="Times New Roman" w:eastAsia="Times New Roman" w:hAnsi="Times New Roman"/>
          <w:color w:val="000000" w:themeColor="text1"/>
          <w:sz w:val="26"/>
          <w:szCs w:val="26"/>
        </w:rPr>
        <w:t xml:space="preserve"> seu</w:t>
      </w:r>
      <w:r w:rsidRPr="16D0F8A3">
        <w:rPr>
          <w:rFonts w:ascii="Times New Roman" w:eastAsia="Times New Roman" w:hAnsi="Times New Roman"/>
          <w:color w:val="000000" w:themeColor="text1"/>
          <w:sz w:val="26"/>
          <w:szCs w:val="26"/>
        </w:rPr>
        <w:t xml:space="preserve"> patrimônio jurídico, com decadência para a Administração rever tal ato.</w:t>
      </w:r>
    </w:p>
    <w:p w14:paraId="547C0580" w14:textId="5FD3FD41"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5E57C3B7" w14:textId="659C4E10" w:rsidR="0D1069A5" w:rsidRDefault="121C2F41"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Rememora-se que a Lei 11.416/2006 criou a Gratificação de Atividade Externa – GAE, devida a todos os Oficiais de Justiça que estiverem no efetivo exercício de suas funções. Portanto, essa sim se constitui como uma parcela remuneratória própria do cargo efetivo de Analista Judiciário, especialidade Oficial de Justiça Avaliador Federal, vez que independe de qualquer designação e compõe a estrutura remuneratória do cargo efetivo:</w:t>
      </w:r>
    </w:p>
    <w:p w14:paraId="2AEE7812" w14:textId="62335A7F" w:rsidR="0D1069A5" w:rsidRDefault="121C2F41"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72566014" w14:textId="50AA473B" w:rsidR="0D1069A5" w:rsidRDefault="121C2F41" w:rsidP="16D0F8A3">
      <w:pPr>
        <w:spacing w:after="0" w:line="240" w:lineRule="auto"/>
        <w:ind w:left="169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Art. 16.  Fica instituída a Gratificação de Atividade Externa – GAE, devida exclusivamente aos ocupantes do cargo de Analista Judiciário referidos no § 1º do art. 4º desta Lei. </w:t>
      </w:r>
    </w:p>
    <w:p w14:paraId="4678E8C4" w14:textId="53479057" w:rsidR="0D1069A5" w:rsidRDefault="121C2F41" w:rsidP="16D0F8A3">
      <w:pPr>
        <w:spacing w:after="0" w:line="240" w:lineRule="auto"/>
        <w:ind w:left="169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1º A gratificação de que trata este artigo corresponde a 35% (trinta e cinco por cento) do vencimento básico do servidor. </w:t>
      </w:r>
    </w:p>
    <w:p w14:paraId="162103A4" w14:textId="6A198E70" w:rsidR="0D1069A5" w:rsidRDefault="121C2F41" w:rsidP="16D0F8A3">
      <w:pPr>
        <w:spacing w:after="0" w:line="240" w:lineRule="auto"/>
        <w:ind w:left="169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2º É vedada a percepção da gratificação prevista neste artigo pelo servidor designado para o exercício de função comissionada ou nomeado para cargo em comissão. </w:t>
      </w:r>
    </w:p>
    <w:p w14:paraId="2F553A63" w14:textId="11FDA0EB" w:rsidR="0D1069A5" w:rsidRDefault="121C2F41"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7655D9AF" w14:textId="21E9FE93" w:rsidR="0D1069A5" w:rsidRDefault="121C2F41"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Dessa forma, a Lei 11.416/2006 instituiu a Gratificação de Atividade Externa, como vantagem integrante da estrutura remuneratória do cargo de provimento efetivo de Oficial de Justiça Avaliador Federal, sem natureza de função comissionada, vez que – diferentemente da GRG e da FC - independe de qualquer juízo de discricionariedade na sua concessão.</w:t>
      </w:r>
    </w:p>
    <w:p w14:paraId="0ABED414" w14:textId="3E099DC2" w:rsidR="0D1069A5" w:rsidRDefault="121C2F41"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75EF9E9C" w14:textId="1BAC6DFA" w:rsidR="0D1069A5" w:rsidRDefault="121C2F41"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O simples exercício das atribuições do cargo, pelo servidor, faz surgir o direito subjetivo à percepção da vantagem, que inclusive deve também integrar seus futuros proventos de aposentadorias que devam ser calculados com base </w:t>
      </w:r>
      <w:r w:rsidRPr="16D0F8A3">
        <w:rPr>
          <w:rFonts w:ascii="Times New Roman" w:eastAsia="Times New Roman" w:hAnsi="Times New Roman"/>
          <w:color w:val="000000" w:themeColor="text1"/>
          <w:sz w:val="26"/>
          <w:szCs w:val="26"/>
        </w:rPr>
        <w:lastRenderedPageBreak/>
        <w:t>na totalidade da remuneração do cargo efetivo, até porque, dada a sua natureza remuneratória, a parcela integra a remuneração contributiva utilizada no cálculo dos proventos.</w:t>
      </w:r>
    </w:p>
    <w:p w14:paraId="5392B767" w14:textId="20680C05" w:rsidR="0D1069A5" w:rsidRDefault="121C2F41"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71447191" w14:textId="3AD51E09" w:rsidR="0D1069A5" w:rsidRDefault="121C2F41"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Desse modo, em razão da entrada em vigor da Lei 11.416/2006, em 15 de dezembro de 2007, os Oficiais de Justiça passaram a fazer jus à Gratificação de Atividade Externa, sendo esta implementada também na remuneração dos servidores que possuíam VPNI oriunda de quintos incorporados.</w:t>
      </w:r>
    </w:p>
    <w:p w14:paraId="296C5ECD" w14:textId="398301C4"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25E4BFDA" w14:textId="3B2E386B" w:rsidR="0D1069A5" w:rsidRDefault="121C2F41"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Nesse sentido, a legislação em vigor desde a instituição da GAE afirmou a sua compatibilidade com as demais parcelas remuneratórias já incorporadas. Entre a GAE e qualquer VPNI é impossível a existência de </w:t>
      </w:r>
      <w:r w:rsidRPr="16D0F8A3">
        <w:rPr>
          <w:rFonts w:ascii="Times New Roman" w:eastAsia="Times New Roman" w:hAnsi="Times New Roman"/>
          <w:i/>
          <w:iCs/>
          <w:color w:val="000000" w:themeColor="text1"/>
          <w:sz w:val="26"/>
          <w:szCs w:val="26"/>
        </w:rPr>
        <w:t>bis in idem</w:t>
      </w:r>
      <w:r w:rsidRPr="16D0F8A3">
        <w:rPr>
          <w:rFonts w:ascii="Times New Roman" w:eastAsia="Times New Roman" w:hAnsi="Times New Roman"/>
          <w:color w:val="000000" w:themeColor="text1"/>
          <w:sz w:val="26"/>
          <w:szCs w:val="26"/>
        </w:rPr>
        <w:t>, seja porque é posicionamento pacificado na jurisprudência que a VPNI não guarda conexão com a parcela que lhe deu origem, seja porque a incorporação se deu sobre GRG e FC em função de confiança de executante de mandados, diversa da GAE. O equívoco da Corte de Contas contraria a consolidação da interpretação judicial a respeito.</w:t>
      </w:r>
    </w:p>
    <w:p w14:paraId="48D27E0F" w14:textId="16A39A48" w:rsidR="0D1069A5" w:rsidRDefault="121C2F41"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540E6C7D" w14:textId="70686A09" w:rsidR="0D1069A5" w:rsidRDefault="121C2F41" w:rsidP="373D5F8C">
      <w:pPr>
        <w:spacing w:after="0" w:line="240" w:lineRule="auto"/>
        <w:ind w:firstLine="1695"/>
        <w:jc w:val="both"/>
        <w:rPr>
          <w:rFonts w:ascii="Times New Roman" w:eastAsia="Times New Roman" w:hAnsi="Times New Roman"/>
          <w:color w:val="000000" w:themeColor="text1"/>
          <w:sz w:val="26"/>
          <w:szCs w:val="26"/>
        </w:rPr>
      </w:pPr>
      <w:r w:rsidRPr="163427A8">
        <w:rPr>
          <w:rFonts w:ascii="Times New Roman" w:eastAsia="Times New Roman" w:hAnsi="Times New Roman"/>
          <w:color w:val="000000" w:themeColor="text1"/>
          <w:sz w:val="26"/>
          <w:szCs w:val="26"/>
        </w:rPr>
        <w:t>A outra perspectiva apresentada pela Corte de Contas, nos acórdãos paradigmas que influenciaram as atuações dos tribunais, afirma a proibição do recebimento das parcelas GAE e VPNI por suposta incidência do § 2º do artigo 16 da Lei 11.416, de 2006</w:t>
      </w:r>
      <w:r w:rsidR="0D1069A5" w:rsidRPr="163427A8">
        <w:rPr>
          <w:rStyle w:val="Refdenotaderodap"/>
          <w:rFonts w:ascii="Times New Roman" w:eastAsia="Times New Roman" w:hAnsi="Times New Roman"/>
          <w:color w:val="000000" w:themeColor="text1"/>
          <w:sz w:val="26"/>
          <w:szCs w:val="26"/>
        </w:rPr>
        <w:footnoteReference w:id="5"/>
      </w:r>
      <w:r w:rsidRPr="163427A8">
        <w:rPr>
          <w:rFonts w:ascii="Times New Roman" w:eastAsia="Times New Roman" w:hAnsi="Times New Roman"/>
          <w:color w:val="000000" w:themeColor="text1"/>
          <w:sz w:val="26"/>
          <w:szCs w:val="26"/>
        </w:rPr>
        <w:t xml:space="preserve">. Ora, o referido §2º do artigo 16 veda apenas o pagamento da GAE para quem estiver </w:t>
      </w:r>
      <w:r w:rsidRPr="163427A8">
        <w:rPr>
          <w:rFonts w:ascii="Times New Roman" w:eastAsia="Times New Roman" w:hAnsi="Times New Roman"/>
          <w:b/>
          <w:bCs/>
          <w:color w:val="000000" w:themeColor="text1"/>
          <w:sz w:val="26"/>
          <w:szCs w:val="26"/>
          <w:u w:val="single"/>
        </w:rPr>
        <w:t>no exercício</w:t>
      </w:r>
      <w:r w:rsidRPr="163427A8">
        <w:rPr>
          <w:rFonts w:ascii="Times New Roman" w:eastAsia="Times New Roman" w:hAnsi="Times New Roman"/>
          <w:color w:val="000000" w:themeColor="text1"/>
          <w:sz w:val="26"/>
          <w:szCs w:val="26"/>
        </w:rPr>
        <w:t xml:space="preserve"> simultâneo e presente de função comissionada ou </w:t>
      </w:r>
      <w:r w:rsidRPr="163427A8">
        <w:rPr>
          <w:rFonts w:ascii="Times New Roman" w:eastAsia="Times New Roman" w:hAnsi="Times New Roman"/>
          <w:b/>
          <w:bCs/>
          <w:color w:val="000000" w:themeColor="text1"/>
          <w:sz w:val="26"/>
          <w:szCs w:val="26"/>
          <w:u w:val="single"/>
        </w:rPr>
        <w:t>nomeado</w:t>
      </w:r>
      <w:r w:rsidRPr="163427A8">
        <w:rPr>
          <w:rFonts w:ascii="Times New Roman" w:eastAsia="Times New Roman" w:hAnsi="Times New Roman"/>
          <w:color w:val="000000" w:themeColor="text1"/>
          <w:sz w:val="26"/>
          <w:szCs w:val="26"/>
        </w:rPr>
        <w:t xml:space="preserve"> para cargo em comissão. E a razão é bastante simples: se estiver no desempenho de função comissionada de assessoria interna, não estará na atividade externa que suscita a GAE (caso de assessoria em gabinete, por exemplo). Em resumo, </w:t>
      </w:r>
      <w:r w:rsidRPr="163427A8">
        <w:rPr>
          <w:rFonts w:ascii="Times New Roman" w:eastAsia="Times New Roman" w:hAnsi="Times New Roman"/>
          <w:b/>
          <w:bCs/>
          <w:color w:val="000000" w:themeColor="text1"/>
          <w:sz w:val="26"/>
          <w:szCs w:val="26"/>
        </w:rPr>
        <w:t>a restrição se dirige apenas ao exercício</w:t>
      </w:r>
      <w:r w:rsidRPr="163427A8">
        <w:rPr>
          <w:rFonts w:ascii="Times New Roman" w:eastAsia="Times New Roman" w:hAnsi="Times New Roman"/>
          <w:color w:val="000000" w:themeColor="text1"/>
          <w:sz w:val="26"/>
          <w:szCs w:val="26"/>
        </w:rPr>
        <w:t xml:space="preserve"> – </w:t>
      </w:r>
      <w:r w:rsidRPr="163427A8">
        <w:rPr>
          <w:rFonts w:ascii="Times New Roman" w:eastAsia="Times New Roman" w:hAnsi="Times New Roman"/>
          <w:b/>
          <w:bCs/>
          <w:color w:val="000000" w:themeColor="text1"/>
          <w:sz w:val="26"/>
          <w:szCs w:val="26"/>
        </w:rPr>
        <w:t>na atividade</w:t>
      </w:r>
      <w:r w:rsidRPr="163427A8">
        <w:rPr>
          <w:rFonts w:ascii="Times New Roman" w:eastAsia="Times New Roman" w:hAnsi="Times New Roman"/>
          <w:color w:val="000000" w:themeColor="text1"/>
          <w:sz w:val="26"/>
          <w:szCs w:val="26"/>
        </w:rPr>
        <w:t xml:space="preserve"> – de FC ou CJ concomitante com a função de oficial de justiça, a partir da integralização da GAE.</w:t>
      </w:r>
    </w:p>
    <w:p w14:paraId="144A138E" w14:textId="33901373"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103C51FB" w14:textId="77BFC122" w:rsidR="0D1069A5" w:rsidRDefault="121C2F41"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É tão equivocada a interpretação aplicada pelo TCU que no paradigmático Acórdão 2784/2016/TCU-Plenário, assim como em seus similares, a Corte de Contas ressalva que não está proibida a VPNI de quintos de outras funções comissionadas ou cargos em comissão, contrapondo-se ao próprio argumento que invoca o § 2º do artigo 16 da Lei 11.416/2016 como pretenso óbice.</w:t>
      </w:r>
    </w:p>
    <w:p w14:paraId="26B8A3FD" w14:textId="7110FE05" w:rsidR="0D1069A5" w:rsidRDefault="121C2F41"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48073CD4" w14:textId="1F38A473" w:rsidR="0D1069A5" w:rsidRDefault="121C2F41"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Se quisesse o legislador restringir o direito à GAE nas hipóteses em que os servidores possuem parcelas de função incorporadas, isso seria feito </w:t>
      </w:r>
      <w:r w:rsidRPr="16D0F8A3">
        <w:rPr>
          <w:rFonts w:ascii="Times New Roman" w:eastAsia="Times New Roman" w:hAnsi="Times New Roman"/>
          <w:b/>
          <w:bCs/>
          <w:color w:val="000000" w:themeColor="text1"/>
          <w:sz w:val="26"/>
          <w:szCs w:val="26"/>
        </w:rPr>
        <w:lastRenderedPageBreak/>
        <w:t>expressamente</w:t>
      </w:r>
      <w:r w:rsidRPr="16D0F8A3">
        <w:rPr>
          <w:rFonts w:ascii="Times New Roman" w:eastAsia="Times New Roman" w:hAnsi="Times New Roman"/>
          <w:color w:val="000000" w:themeColor="text1"/>
          <w:sz w:val="26"/>
          <w:szCs w:val="26"/>
        </w:rPr>
        <w:t>, não cabendo ao TCU legislar para incluir uma extensão da lei ordinária.</w:t>
      </w:r>
    </w:p>
    <w:p w14:paraId="5B099F80" w14:textId="77777777" w:rsidR="00AA7B2E" w:rsidRDefault="00AA7B2E" w:rsidP="16D0F8A3">
      <w:pPr>
        <w:spacing w:after="0" w:line="240" w:lineRule="auto"/>
        <w:ind w:firstLine="1695"/>
        <w:jc w:val="both"/>
        <w:rPr>
          <w:rFonts w:ascii="Times New Roman" w:eastAsia="Times New Roman" w:hAnsi="Times New Roman"/>
          <w:color w:val="000000" w:themeColor="text1"/>
          <w:sz w:val="26"/>
          <w:szCs w:val="26"/>
        </w:rPr>
      </w:pPr>
    </w:p>
    <w:p w14:paraId="0630A49E" w14:textId="60AB1B06" w:rsidR="0D1069A5" w:rsidRDefault="5CD44550"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r w:rsidR="50C11472" w:rsidRPr="163427A8">
        <w:rPr>
          <w:rFonts w:ascii="Times New Roman" w:eastAsia="Times New Roman" w:hAnsi="Times New Roman"/>
          <w:color w:val="000000" w:themeColor="text1"/>
          <w:sz w:val="26"/>
          <w:szCs w:val="26"/>
        </w:rPr>
        <w:t>Destarte, s</w:t>
      </w:r>
      <w:r w:rsidRPr="163427A8">
        <w:rPr>
          <w:rFonts w:ascii="Times New Roman" w:eastAsia="Times New Roman" w:hAnsi="Times New Roman"/>
          <w:color w:val="000000" w:themeColor="text1"/>
          <w:sz w:val="26"/>
          <w:szCs w:val="26"/>
        </w:rPr>
        <w:t>endo devida a incorporação, é inegável que a determinação do corte (ou compensação retroativa) da VPNI viola o disposto no artigo 3º da Lei 8.911/1994</w:t>
      </w:r>
      <w:r w:rsidR="0D1069A5" w:rsidRPr="163427A8">
        <w:rPr>
          <w:rStyle w:val="Refdenotaderodap"/>
          <w:rFonts w:ascii="Times New Roman" w:eastAsia="Times New Roman" w:hAnsi="Times New Roman"/>
          <w:color w:val="000000" w:themeColor="text1"/>
          <w:sz w:val="26"/>
          <w:szCs w:val="26"/>
        </w:rPr>
        <w:footnoteReference w:id="6"/>
      </w:r>
      <w:r w:rsidRPr="163427A8">
        <w:rPr>
          <w:rFonts w:ascii="Times New Roman" w:eastAsia="Times New Roman" w:hAnsi="Times New Roman"/>
          <w:color w:val="000000" w:themeColor="text1"/>
          <w:sz w:val="26"/>
          <w:szCs w:val="26"/>
        </w:rPr>
        <w:t>, o disposto no artigo 62, § 2º, da Lei 8.112/1990, na redação vigente até 1997</w:t>
      </w:r>
      <w:r w:rsidR="0D1069A5" w:rsidRPr="163427A8">
        <w:rPr>
          <w:rStyle w:val="Refdenotaderodap"/>
          <w:rFonts w:ascii="Times New Roman" w:eastAsia="Times New Roman" w:hAnsi="Times New Roman"/>
          <w:color w:val="000000" w:themeColor="text1"/>
          <w:sz w:val="26"/>
          <w:szCs w:val="26"/>
        </w:rPr>
        <w:footnoteReference w:id="7"/>
      </w:r>
      <w:r w:rsidRPr="163427A8">
        <w:rPr>
          <w:rFonts w:ascii="Times New Roman" w:eastAsia="Times New Roman" w:hAnsi="Times New Roman"/>
          <w:color w:val="000000" w:themeColor="text1"/>
          <w:sz w:val="26"/>
          <w:szCs w:val="26"/>
        </w:rPr>
        <w:t>; e o disposto no art. 15 da Lei 9.421/1996</w:t>
      </w:r>
      <w:r w:rsidR="0D1069A5" w:rsidRPr="163427A8">
        <w:rPr>
          <w:rStyle w:val="Refdenotaderodap"/>
          <w:rFonts w:ascii="Times New Roman" w:eastAsia="Times New Roman" w:hAnsi="Times New Roman"/>
          <w:color w:val="000000" w:themeColor="text1"/>
          <w:sz w:val="26"/>
          <w:szCs w:val="26"/>
        </w:rPr>
        <w:footnoteReference w:id="8"/>
      </w:r>
      <w:r w:rsidRPr="163427A8">
        <w:rPr>
          <w:rFonts w:ascii="Times New Roman" w:eastAsia="Times New Roman" w:hAnsi="Times New Roman"/>
          <w:color w:val="000000" w:themeColor="text1"/>
          <w:sz w:val="26"/>
          <w:szCs w:val="26"/>
        </w:rPr>
        <w:t>, disposições legais plenamente válidas, que embasaram a concessão dos quintos ao servidor. Viola, por conseguinte, o princípio da legalidade, inserto no art. 5º, II, e 37, </w:t>
      </w:r>
      <w:r w:rsidRPr="163427A8">
        <w:rPr>
          <w:rFonts w:ascii="Times New Roman" w:eastAsia="Times New Roman" w:hAnsi="Times New Roman"/>
          <w:i/>
          <w:iCs/>
          <w:color w:val="000000" w:themeColor="text1"/>
          <w:sz w:val="26"/>
          <w:szCs w:val="26"/>
        </w:rPr>
        <w:t>caput</w:t>
      </w:r>
      <w:r w:rsidRPr="163427A8">
        <w:rPr>
          <w:rFonts w:ascii="Times New Roman" w:eastAsia="Times New Roman" w:hAnsi="Times New Roman"/>
          <w:color w:val="000000" w:themeColor="text1"/>
          <w:sz w:val="26"/>
          <w:szCs w:val="26"/>
        </w:rPr>
        <w:t>, da Constituição Federal</w:t>
      </w:r>
      <w:r w:rsidR="0D1069A5" w:rsidRPr="163427A8">
        <w:rPr>
          <w:rStyle w:val="Refdenotaderodap"/>
          <w:rFonts w:ascii="Times New Roman" w:eastAsia="Times New Roman" w:hAnsi="Times New Roman"/>
          <w:color w:val="000000" w:themeColor="text1"/>
          <w:sz w:val="26"/>
          <w:szCs w:val="26"/>
        </w:rPr>
        <w:footnoteReference w:id="9"/>
      </w:r>
      <w:r w:rsidRPr="163427A8">
        <w:rPr>
          <w:rFonts w:ascii="Times New Roman" w:eastAsia="Times New Roman" w:hAnsi="Times New Roman"/>
          <w:color w:val="000000" w:themeColor="text1"/>
          <w:sz w:val="26"/>
          <w:szCs w:val="26"/>
        </w:rPr>
        <w:t>, devendo ser garantido o pagamento de ambas as parcelas (GAE e VPNI).</w:t>
      </w:r>
    </w:p>
    <w:p w14:paraId="6C064CE5" w14:textId="5EC53752"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61A2AA18" w14:textId="1CC661B3" w:rsidR="0D1069A5" w:rsidRDefault="6EC43065" w:rsidP="16D0F8A3">
      <w:pPr>
        <w:spacing w:after="0" w:line="240" w:lineRule="auto"/>
        <w:jc w:val="both"/>
        <w:rPr>
          <w:rFonts w:ascii="Times New Roman" w:eastAsia="Times New Roman" w:hAnsi="Times New Roman"/>
          <w:color w:val="000000" w:themeColor="text1"/>
          <w:sz w:val="26"/>
          <w:szCs w:val="26"/>
        </w:rPr>
      </w:pPr>
      <w:r w:rsidRPr="16D0F8A3">
        <w:rPr>
          <w:rFonts w:ascii="Times New Roman" w:eastAsia="Times New Roman" w:hAnsi="Times New Roman"/>
          <w:b/>
          <w:bCs/>
          <w:color w:val="000000" w:themeColor="text1"/>
          <w:sz w:val="26"/>
          <w:szCs w:val="26"/>
        </w:rPr>
        <w:t>2.5.</w:t>
      </w:r>
      <w:r w:rsidR="45081017" w:rsidRPr="16D0F8A3">
        <w:rPr>
          <w:rFonts w:ascii="Times New Roman" w:eastAsia="Times New Roman" w:hAnsi="Times New Roman"/>
          <w:b/>
          <w:bCs/>
          <w:color w:val="000000" w:themeColor="text1"/>
          <w:sz w:val="26"/>
          <w:szCs w:val="26"/>
        </w:rPr>
        <w:t xml:space="preserve"> </w:t>
      </w:r>
      <w:r w:rsidR="45081017" w:rsidRPr="16D0F8A3">
        <w:rPr>
          <w:rFonts w:ascii="Times New Roman" w:eastAsia="Times New Roman" w:hAnsi="Times New Roman"/>
          <w:b/>
          <w:bCs/>
          <w:color w:val="000000" w:themeColor="text1"/>
          <w:sz w:val="26"/>
          <w:szCs w:val="26"/>
          <w:u w:val="single"/>
        </w:rPr>
        <w:t xml:space="preserve">VPNI: ausência de correlação com a parcela original transformada – previsão legal e jurisprudencial </w:t>
      </w:r>
    </w:p>
    <w:p w14:paraId="437D7198" w14:textId="7CEB7054" w:rsidR="0D1069A5" w:rsidRDefault="0D1069A5" w:rsidP="16D0F8A3">
      <w:pPr>
        <w:spacing w:after="0" w:line="240" w:lineRule="auto"/>
        <w:ind w:right="16" w:firstLine="1701"/>
        <w:jc w:val="both"/>
        <w:rPr>
          <w:rFonts w:ascii="Times New Roman" w:eastAsia="Times New Roman" w:hAnsi="Times New Roman"/>
          <w:color w:val="000000" w:themeColor="text1"/>
          <w:sz w:val="26"/>
          <w:szCs w:val="26"/>
        </w:rPr>
      </w:pPr>
    </w:p>
    <w:p w14:paraId="77E55BC0" w14:textId="1DC3716E" w:rsidR="0D1069A5" w:rsidRDefault="45081017" w:rsidP="16D0F8A3">
      <w:pPr>
        <w:spacing w:after="0" w:line="240" w:lineRule="auto"/>
        <w:ind w:right="16"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A VPNI resultante da transformação dos “quintos” não mantém correlação com a parcela originária. Essa característica é própria das vantagens pessoais nominalmente identificadas, reajustáveis apenas pelas revisões gerais de remuneração.</w:t>
      </w:r>
    </w:p>
    <w:p w14:paraId="7883E38B" w14:textId="147162F3" w:rsidR="0D1069A5" w:rsidRDefault="0D1069A5" w:rsidP="16D0F8A3">
      <w:pPr>
        <w:spacing w:after="0" w:line="240" w:lineRule="auto"/>
        <w:ind w:right="16" w:firstLine="1701"/>
        <w:jc w:val="both"/>
        <w:rPr>
          <w:rFonts w:ascii="Times New Roman" w:eastAsia="Times New Roman" w:hAnsi="Times New Roman"/>
          <w:color w:val="000000" w:themeColor="text1"/>
          <w:sz w:val="26"/>
          <w:szCs w:val="26"/>
        </w:rPr>
      </w:pPr>
    </w:p>
    <w:p w14:paraId="5AE57B19" w14:textId="6DE35A8E" w:rsidR="0D1069A5" w:rsidRDefault="45081017" w:rsidP="16D0F8A3">
      <w:pPr>
        <w:spacing w:after="0" w:line="240" w:lineRule="auto"/>
        <w:ind w:right="16"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O TRF da 1ª Região, reiteradamente, afirmou essa ruptura, demonstrando que os reajustes e reestruturações específicos da parcela de origem não se aplicam à VPNI.</w:t>
      </w:r>
      <w:r w:rsidRPr="16D0F8A3">
        <w:rPr>
          <w:rFonts w:ascii="Times New Roman" w:eastAsia="Times New Roman" w:hAnsi="Times New Roman"/>
          <w:b/>
          <w:bCs/>
          <w:color w:val="000000" w:themeColor="text1"/>
          <w:sz w:val="26"/>
          <w:szCs w:val="26"/>
        </w:rPr>
        <w:t xml:space="preserve"> </w:t>
      </w:r>
      <w:r w:rsidRPr="16D0F8A3">
        <w:rPr>
          <w:rFonts w:ascii="Times New Roman" w:eastAsia="Times New Roman" w:hAnsi="Times New Roman"/>
          <w:color w:val="000000" w:themeColor="text1"/>
          <w:sz w:val="26"/>
          <w:szCs w:val="26"/>
        </w:rPr>
        <w:t>Nesse sentido:</w:t>
      </w:r>
    </w:p>
    <w:p w14:paraId="5E4777CD" w14:textId="722E4B5D" w:rsidR="0D1069A5" w:rsidRDefault="0D1069A5" w:rsidP="16D0F8A3">
      <w:pPr>
        <w:spacing w:after="0" w:line="240" w:lineRule="auto"/>
        <w:ind w:left="1701" w:right="16"/>
        <w:jc w:val="both"/>
        <w:rPr>
          <w:rFonts w:ascii="Times New Roman" w:eastAsia="Times New Roman" w:hAnsi="Times New Roman"/>
          <w:color w:val="000000" w:themeColor="text1"/>
          <w:sz w:val="26"/>
          <w:szCs w:val="26"/>
        </w:rPr>
      </w:pPr>
    </w:p>
    <w:p w14:paraId="4743F60F" w14:textId="4DEE2316" w:rsidR="0D1069A5" w:rsidRDefault="45081017" w:rsidP="16D0F8A3">
      <w:pPr>
        <w:spacing w:after="0" w:line="240" w:lineRule="auto"/>
        <w:ind w:left="1701" w:right="16"/>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lastRenderedPageBreak/>
        <w:t xml:space="preserve">Quintos Incorporados. Transformação em Vantagem Pessoal Nominalmente Identifica. Reajuste pelo percentual concedido pela lei 10.415 de 2006. Impossibilidade. Sentença Mantida. 1. Por força do art. 15 da Lei 9.527 de 97, os valores já incorporados a título de quintos, a partir de 11 – 12 – 1997, passaram a constituir vantagem pessoal nominalmente identificada – </w:t>
      </w:r>
      <w:r w:rsidRPr="16D0F8A3">
        <w:rPr>
          <w:rFonts w:ascii="Times New Roman" w:eastAsia="Times New Roman" w:hAnsi="Times New Roman"/>
          <w:b/>
          <w:bCs/>
          <w:color w:val="000000" w:themeColor="text1"/>
        </w:rPr>
        <w:t>VPNI, cuja atualização se sujeita apenas à revisão geral de remuneração dos servidores públicos federais, visto que desvinculada da verba que lhe deu origem (função gratificada)</w:t>
      </w:r>
      <w:r w:rsidRPr="16D0F8A3">
        <w:rPr>
          <w:rFonts w:ascii="Times New Roman" w:eastAsia="Times New Roman" w:hAnsi="Times New Roman"/>
          <w:color w:val="000000" w:themeColor="text1"/>
        </w:rPr>
        <w:t>. 2. O STJ, na linha de precedentes do Supremo Tribunal Federal, entende que não há violação ao princípio da irredutibilidade de vencimentos quando da alteração dos critérios de reajuste das funções comissionadas transformadas em VPNI, porquanto inexiste direito adquirido a regime jurídico. 3. A Lei 10.475 de 2002 promoveu a reestruturação das carreiras do Poder Judiciário Federal, de acordo com critérios de oportunidade e conveniência da Administração Pública não podendo ser tida como reajuste geral anual. 4. Assim, a pretensão de corrigir a VPNI pelo percentual de reajuste concedido pela Lei 11.415 de 2006 viola o princípio da legalidade. 5. Apelação desprovida. Sentença mantida. (TRF 1ª. 1ª. Turma.  Rel. Des. César Augusto Bearsi - NUP 001311530.2008.4.01.3400 – AC 2008.34.00.013181-6-DF – data de publicação 08-05-2019)</w:t>
      </w:r>
    </w:p>
    <w:p w14:paraId="7295ADEA" w14:textId="47F8EC4E" w:rsidR="0D1069A5" w:rsidRDefault="0D1069A5" w:rsidP="16D0F8A3">
      <w:pPr>
        <w:spacing w:after="0" w:line="240" w:lineRule="auto"/>
        <w:ind w:left="1701" w:right="16"/>
        <w:jc w:val="both"/>
        <w:rPr>
          <w:rFonts w:ascii="Times New Roman" w:eastAsia="Times New Roman" w:hAnsi="Times New Roman"/>
          <w:color w:val="000000" w:themeColor="text1"/>
          <w:sz w:val="26"/>
          <w:szCs w:val="26"/>
        </w:rPr>
      </w:pPr>
    </w:p>
    <w:p w14:paraId="4FCA8ABF" w14:textId="707DB230" w:rsidR="0D1069A5" w:rsidRDefault="45081017" w:rsidP="16D0F8A3">
      <w:pPr>
        <w:spacing w:after="0" w:line="240" w:lineRule="auto"/>
        <w:ind w:firstLine="1701"/>
        <w:jc w:val="both"/>
        <w:rPr>
          <w:rFonts w:ascii="Times New Roman" w:eastAsia="Times New Roman" w:hAnsi="Times New Roman"/>
          <w:color w:val="000000" w:themeColor="text1"/>
          <w:sz w:val="26"/>
          <w:szCs w:val="26"/>
        </w:rPr>
      </w:pPr>
      <w:r w:rsidRPr="163427A8">
        <w:rPr>
          <w:rFonts w:ascii="Times New Roman" w:eastAsia="Times New Roman" w:hAnsi="Times New Roman"/>
          <w:color w:val="000000" w:themeColor="text1"/>
          <w:sz w:val="26"/>
          <w:szCs w:val="26"/>
        </w:rPr>
        <w:t>Ao analisar a consulta d</w:t>
      </w:r>
      <w:r w:rsidR="31124600" w:rsidRPr="163427A8">
        <w:rPr>
          <w:rFonts w:ascii="Times New Roman" w:eastAsia="Times New Roman" w:hAnsi="Times New Roman"/>
          <w:color w:val="000000" w:themeColor="text1"/>
          <w:sz w:val="26"/>
          <w:szCs w:val="26"/>
        </w:rPr>
        <w:t xml:space="preserve">este </w:t>
      </w:r>
      <w:r w:rsidRPr="163427A8">
        <w:rPr>
          <w:rFonts w:ascii="Times New Roman" w:eastAsia="Times New Roman" w:hAnsi="Times New Roman"/>
          <w:color w:val="000000" w:themeColor="text1"/>
          <w:sz w:val="26"/>
          <w:szCs w:val="26"/>
        </w:rPr>
        <w:t>TRF2 ao Conselho da Justiça Federal (processo 0005894.06.2019.4.90.8000) sobre a acumulação das parcelas, o Conselho Carlos Moreira Alves, em seu voto-vista</w:t>
      </w:r>
      <w:r w:rsidR="0D1069A5" w:rsidRPr="163427A8">
        <w:rPr>
          <w:rStyle w:val="Refdenotaderodap"/>
          <w:rFonts w:ascii="Times New Roman" w:eastAsia="Times New Roman" w:hAnsi="Times New Roman"/>
          <w:color w:val="000000" w:themeColor="text1"/>
          <w:sz w:val="26"/>
          <w:szCs w:val="26"/>
        </w:rPr>
        <w:footnoteReference w:id="10"/>
      </w:r>
      <w:r w:rsidRPr="163427A8">
        <w:rPr>
          <w:rFonts w:ascii="Times New Roman" w:eastAsia="Times New Roman" w:hAnsi="Times New Roman"/>
          <w:color w:val="000000" w:themeColor="text1"/>
          <w:sz w:val="26"/>
          <w:szCs w:val="26"/>
        </w:rPr>
        <w:t>, também atesta a desvinculação da natureza jurídica da VPNI, quando afirma:</w:t>
      </w:r>
    </w:p>
    <w:p w14:paraId="2A0915E5" w14:textId="4CEB62FB"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7E9D42D4" w14:textId="1EDC3F64"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“Tão pouco estabeleceu que aqueles que cujas remunerações ou proventos contassem parcelas incorporadas em decorrência do exercício, no passado, de funções comissionadas ou de cargos em comissão, teriam, em razão da instituição da Gratificação de Atividade Externa, de optar entre o recebimento desta ou o do valor da parcela incorporada em suas remunerações ou proventos, </w:t>
      </w:r>
      <w:r w:rsidRPr="16D0F8A3">
        <w:rPr>
          <w:rFonts w:ascii="Times New Roman" w:eastAsia="Times New Roman" w:hAnsi="Times New Roman"/>
          <w:b/>
          <w:bCs/>
          <w:color w:val="000000" w:themeColor="text1"/>
        </w:rPr>
        <w:t>até porque, uma vez que haja incorporação, o valor incorporado se desprende da função ou do cargo cujo exercício, prolongado no tempo, deu margem a ela, passando, a partir daí, a integrar a remuneração do beneficiário, como vantagem pecuniária permanente, autônoma, na forma enunciada no artigo 41 da Lei. 8.112, de 11 de dezembro de 1.990</w:t>
      </w:r>
      <w:r w:rsidRPr="16D0F8A3">
        <w:rPr>
          <w:rFonts w:ascii="Times New Roman" w:eastAsia="Times New Roman" w:hAnsi="Times New Roman"/>
          <w:color w:val="000000" w:themeColor="text1"/>
        </w:rPr>
        <w:t>.”</w:t>
      </w:r>
    </w:p>
    <w:p w14:paraId="21DCCCA3" w14:textId="372BA22D" w:rsidR="0D1069A5" w:rsidRDefault="0D1069A5" w:rsidP="16D0F8A3">
      <w:pPr>
        <w:spacing w:after="0" w:line="240" w:lineRule="auto"/>
        <w:ind w:left="1701"/>
        <w:jc w:val="both"/>
        <w:rPr>
          <w:rFonts w:ascii="Times New Roman" w:eastAsia="Times New Roman" w:hAnsi="Times New Roman"/>
          <w:color w:val="000000" w:themeColor="text1"/>
          <w:sz w:val="26"/>
          <w:szCs w:val="26"/>
        </w:rPr>
      </w:pPr>
    </w:p>
    <w:p w14:paraId="72D7FFC1" w14:textId="0A6C9F71" w:rsidR="0D1069A5" w:rsidRDefault="45081017" w:rsidP="16D0F8A3">
      <w:pPr>
        <w:spacing w:after="0" w:line="240" w:lineRule="auto"/>
        <w:ind w:right="16"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No caso em análise, a incorporação das parcelas de retribuição pelo exercício de função de Executante de Mandados (quintos da FC-5), por atos emitidos há mais de 20 anos, foi transformada pela Lei 9.527/97 em Vantagem Pessoal Nominalmente Identificada – VPNI, alterando-se a sua natureza jurídica. Desde então, não é mais possível confundi-la com qualquer função comissionada, tampouco com a Gratificação de Atividade Externa (GAE).</w:t>
      </w:r>
    </w:p>
    <w:p w14:paraId="090DC1A3" w14:textId="2275AC64"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17EF9111" w14:textId="3B407F39" w:rsidR="0D1069A5" w:rsidRDefault="0049716F" w:rsidP="16D0F8A3">
      <w:pPr>
        <w:spacing w:after="0" w:line="240" w:lineRule="auto"/>
        <w:ind w:right="15"/>
        <w:jc w:val="both"/>
        <w:rPr>
          <w:rFonts w:ascii="Times New Roman" w:eastAsia="Times New Roman" w:hAnsi="Times New Roman"/>
          <w:color w:val="000000" w:themeColor="text1"/>
          <w:sz w:val="26"/>
          <w:szCs w:val="26"/>
        </w:rPr>
      </w:pPr>
      <w:r>
        <w:rPr>
          <w:rFonts w:ascii="Times New Roman" w:eastAsia="Times New Roman" w:hAnsi="Times New Roman"/>
          <w:b/>
          <w:bCs/>
          <w:color w:val="000000" w:themeColor="text1"/>
          <w:sz w:val="26"/>
          <w:szCs w:val="26"/>
        </w:rPr>
        <w:lastRenderedPageBreak/>
        <w:t>2</w:t>
      </w:r>
      <w:r w:rsidR="45081017" w:rsidRPr="16D0F8A3">
        <w:rPr>
          <w:rFonts w:ascii="Times New Roman" w:eastAsia="Times New Roman" w:hAnsi="Times New Roman"/>
          <w:b/>
          <w:bCs/>
          <w:color w:val="000000" w:themeColor="text1"/>
          <w:sz w:val="26"/>
          <w:szCs w:val="26"/>
        </w:rPr>
        <w:t>.</w:t>
      </w:r>
      <w:r>
        <w:rPr>
          <w:rFonts w:ascii="Times New Roman" w:eastAsia="Times New Roman" w:hAnsi="Times New Roman"/>
          <w:b/>
          <w:bCs/>
          <w:color w:val="000000" w:themeColor="text1"/>
          <w:sz w:val="26"/>
          <w:szCs w:val="26"/>
        </w:rPr>
        <w:t>6</w:t>
      </w:r>
      <w:r w:rsidR="45081017" w:rsidRPr="16D0F8A3">
        <w:rPr>
          <w:rFonts w:ascii="Times New Roman" w:eastAsia="Times New Roman" w:hAnsi="Times New Roman"/>
          <w:b/>
          <w:bCs/>
          <w:color w:val="000000" w:themeColor="text1"/>
          <w:sz w:val="26"/>
          <w:szCs w:val="26"/>
        </w:rPr>
        <w:t xml:space="preserve">. </w:t>
      </w:r>
      <w:r w:rsidR="45081017" w:rsidRPr="16D0F8A3">
        <w:rPr>
          <w:rFonts w:ascii="Times New Roman" w:eastAsia="Times New Roman" w:hAnsi="Times New Roman"/>
          <w:b/>
          <w:bCs/>
          <w:color w:val="000000" w:themeColor="text1"/>
          <w:sz w:val="26"/>
          <w:szCs w:val="26"/>
          <w:u w:val="single"/>
        </w:rPr>
        <w:t>Da inaplicabilidade do Acórdão nº 2784/2016: ausência de determinação de revisão de atos</w:t>
      </w:r>
    </w:p>
    <w:p w14:paraId="1F611717" w14:textId="476C23F6" w:rsidR="0D1069A5" w:rsidRDefault="0D1069A5" w:rsidP="16D0F8A3">
      <w:pPr>
        <w:spacing w:after="0" w:line="240" w:lineRule="auto"/>
        <w:ind w:right="15" w:firstLine="1701"/>
        <w:jc w:val="both"/>
        <w:rPr>
          <w:rFonts w:ascii="Times New Roman" w:eastAsia="Times New Roman" w:hAnsi="Times New Roman"/>
          <w:color w:val="000000" w:themeColor="text1"/>
          <w:sz w:val="26"/>
          <w:szCs w:val="26"/>
        </w:rPr>
      </w:pPr>
    </w:p>
    <w:p w14:paraId="57B62BA5" w14:textId="47797458" w:rsidR="0D1069A5" w:rsidRDefault="45081017" w:rsidP="16D0F8A3">
      <w:pPr>
        <w:spacing w:after="0" w:line="240" w:lineRule="auto"/>
        <w:ind w:right="15"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Importante </w:t>
      </w:r>
      <w:r w:rsidR="00B9217E">
        <w:rPr>
          <w:rFonts w:ascii="Times New Roman" w:eastAsia="Times New Roman" w:hAnsi="Times New Roman"/>
          <w:color w:val="000000" w:themeColor="text1"/>
          <w:sz w:val="26"/>
          <w:szCs w:val="26"/>
        </w:rPr>
        <w:t>atentar</w:t>
      </w:r>
      <w:r w:rsidRPr="16D0F8A3">
        <w:rPr>
          <w:rFonts w:ascii="Times New Roman" w:eastAsia="Times New Roman" w:hAnsi="Times New Roman"/>
          <w:color w:val="000000" w:themeColor="text1"/>
          <w:sz w:val="26"/>
          <w:szCs w:val="26"/>
        </w:rPr>
        <w:t xml:space="preserve"> para o seguinte fato: mesmo quando da fixação do (errôneo) entendimento no Acórdão nº 2784/2016, o Tribunal de Contas da União se deteve à análise de </w:t>
      </w:r>
      <w:r w:rsidRPr="16D0F8A3">
        <w:rPr>
          <w:rFonts w:ascii="Times New Roman" w:eastAsia="Times New Roman" w:hAnsi="Times New Roman"/>
          <w:b/>
          <w:bCs/>
          <w:color w:val="000000" w:themeColor="text1"/>
          <w:sz w:val="26"/>
          <w:szCs w:val="26"/>
        </w:rPr>
        <w:t>atos específicos de aposentadoria relacionados a determinados servidores</w:t>
      </w:r>
      <w:r w:rsidRPr="16D0F8A3">
        <w:rPr>
          <w:rFonts w:ascii="Times New Roman" w:eastAsia="Times New Roman" w:hAnsi="Times New Roman"/>
          <w:color w:val="000000" w:themeColor="text1"/>
          <w:sz w:val="26"/>
          <w:szCs w:val="26"/>
        </w:rPr>
        <w:t>, não advindo do referido processo nenhuma ordem que pudesse automaticamente ser estendida aos outros servidores.</w:t>
      </w:r>
    </w:p>
    <w:p w14:paraId="7549C9F3" w14:textId="4B99E64F" w:rsidR="0D1069A5" w:rsidRDefault="0D1069A5" w:rsidP="16D0F8A3">
      <w:pPr>
        <w:spacing w:after="0" w:line="240" w:lineRule="auto"/>
        <w:ind w:right="15" w:firstLine="1701"/>
        <w:jc w:val="both"/>
        <w:rPr>
          <w:rFonts w:ascii="Times New Roman" w:eastAsia="Times New Roman" w:hAnsi="Times New Roman"/>
          <w:color w:val="000000" w:themeColor="text1"/>
          <w:sz w:val="26"/>
          <w:szCs w:val="26"/>
        </w:rPr>
      </w:pPr>
    </w:p>
    <w:p w14:paraId="7107AB90" w14:textId="1C5E224C" w:rsidR="0D1069A5" w:rsidRDefault="45081017" w:rsidP="16D0F8A3">
      <w:pPr>
        <w:spacing w:after="0" w:line="240" w:lineRule="auto"/>
        <w:ind w:right="15"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Vale dizer, embora tenha provocado os Tribunais Regionais a analisarem a suposta ilegalidade da percepção cumulada da VPNI decorrente de quintos com a GAE, embasado no mencionado acórdão, o Tribunal de Contas da União se equivoca ao partir do pressuposto de que a regra deva ser aplicada indistintamente.</w:t>
      </w:r>
    </w:p>
    <w:p w14:paraId="648D3183" w14:textId="65CB9BF3" w:rsidR="0D1069A5" w:rsidRDefault="0D1069A5" w:rsidP="16D0F8A3">
      <w:pPr>
        <w:spacing w:after="0" w:line="240" w:lineRule="auto"/>
        <w:ind w:right="15" w:firstLine="1701"/>
        <w:jc w:val="both"/>
        <w:rPr>
          <w:rFonts w:ascii="Times New Roman" w:eastAsia="Times New Roman" w:hAnsi="Times New Roman"/>
          <w:color w:val="000000" w:themeColor="text1"/>
          <w:sz w:val="26"/>
          <w:szCs w:val="26"/>
        </w:rPr>
      </w:pPr>
    </w:p>
    <w:p w14:paraId="4F118C67" w14:textId="575764B8"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Em outros termos: o Acórdão nº 2784/2016, ainda que tenha apreciado a legalidade de atos de aposentadoria de alguns servidores, </w:t>
      </w:r>
      <w:r w:rsidRPr="16D0F8A3">
        <w:rPr>
          <w:rFonts w:ascii="Times New Roman" w:eastAsia="Times New Roman" w:hAnsi="Times New Roman"/>
          <w:b/>
          <w:bCs/>
          <w:color w:val="000000" w:themeColor="text1"/>
          <w:sz w:val="26"/>
          <w:szCs w:val="26"/>
        </w:rPr>
        <w:t>não determinou a revisão das incorporações dos servidores ativos, tampouco dos inativos, “</w:t>
      </w:r>
      <w:r w:rsidRPr="16D0F8A3">
        <w:rPr>
          <w:rFonts w:ascii="Times New Roman" w:eastAsia="Times New Roman" w:hAnsi="Times New Roman"/>
          <w:b/>
          <w:bCs/>
          <w:color w:val="000000" w:themeColor="text1"/>
          <w:sz w:val="26"/>
          <w:szCs w:val="26"/>
          <w:u w:val="single"/>
        </w:rPr>
        <w:t>ficando circunscrita ao caso concreto, não obrigando, por conseguinte, os demais órgãos que estão sob sua fiscalização</w:t>
      </w:r>
      <w:r w:rsidRPr="16D0F8A3">
        <w:rPr>
          <w:rFonts w:ascii="Times New Roman" w:eastAsia="Times New Roman" w:hAnsi="Times New Roman"/>
          <w:color w:val="000000" w:themeColor="text1"/>
          <w:sz w:val="26"/>
          <w:szCs w:val="26"/>
        </w:rPr>
        <w:t>”.</w:t>
      </w:r>
    </w:p>
    <w:p w14:paraId="750968AC" w14:textId="68AF2A29" w:rsidR="0D1069A5" w:rsidRDefault="0D1069A5" w:rsidP="16D0F8A3">
      <w:pPr>
        <w:spacing w:after="0" w:line="240" w:lineRule="auto"/>
        <w:ind w:right="15" w:firstLine="1701"/>
        <w:jc w:val="both"/>
        <w:rPr>
          <w:rFonts w:ascii="Times New Roman" w:eastAsia="Times New Roman" w:hAnsi="Times New Roman"/>
          <w:color w:val="000000" w:themeColor="text1"/>
          <w:sz w:val="26"/>
          <w:szCs w:val="26"/>
        </w:rPr>
      </w:pPr>
    </w:p>
    <w:p w14:paraId="2B088DC8" w14:textId="0BBFCB8B" w:rsidR="0D1069A5" w:rsidRDefault="45081017" w:rsidP="16D0F8A3">
      <w:pPr>
        <w:spacing w:after="0" w:line="240" w:lineRule="auto"/>
        <w:ind w:right="15"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Levando-se tais aspectos em consideração e tendo em vista o poder de autotutela da Administração Pública, deveria a Administração Pública entender pela legalidade da cumulação dos benefícios em questão, atentando-se para o fato de que inexiste ordem expressa no acórdão tomado como paradigma para que seja imposto qualquer corte em desfavor dos substituídos. </w:t>
      </w:r>
    </w:p>
    <w:p w14:paraId="3DF954C9" w14:textId="751476DB" w:rsidR="0D1069A5" w:rsidRDefault="45081017" w:rsidP="16D0F8A3">
      <w:pPr>
        <w:spacing w:after="0" w:line="240" w:lineRule="auto"/>
        <w:ind w:right="150"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24B0951B" w14:textId="04FCC6F6" w:rsidR="0D1069A5" w:rsidRDefault="0049716F" w:rsidP="16D0F8A3">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b/>
          <w:bCs/>
          <w:color w:val="000000" w:themeColor="text1"/>
          <w:sz w:val="26"/>
          <w:szCs w:val="26"/>
        </w:rPr>
        <w:t>2</w:t>
      </w:r>
      <w:r w:rsidR="45081017" w:rsidRPr="16D0F8A3">
        <w:rPr>
          <w:rFonts w:ascii="Times New Roman" w:eastAsia="Times New Roman" w:hAnsi="Times New Roman"/>
          <w:b/>
          <w:bCs/>
          <w:color w:val="000000" w:themeColor="text1"/>
          <w:sz w:val="26"/>
          <w:szCs w:val="26"/>
        </w:rPr>
        <w:t>.</w:t>
      </w:r>
      <w:r>
        <w:rPr>
          <w:rFonts w:ascii="Times New Roman" w:eastAsia="Times New Roman" w:hAnsi="Times New Roman"/>
          <w:b/>
          <w:bCs/>
          <w:color w:val="000000" w:themeColor="text1"/>
          <w:sz w:val="26"/>
          <w:szCs w:val="26"/>
        </w:rPr>
        <w:t>7</w:t>
      </w:r>
      <w:r w:rsidR="45081017" w:rsidRPr="16D0F8A3">
        <w:rPr>
          <w:rFonts w:ascii="Times New Roman" w:eastAsia="Times New Roman" w:hAnsi="Times New Roman"/>
          <w:b/>
          <w:bCs/>
          <w:color w:val="000000" w:themeColor="text1"/>
          <w:sz w:val="26"/>
          <w:szCs w:val="26"/>
        </w:rPr>
        <w:t xml:space="preserve">. </w:t>
      </w:r>
      <w:r w:rsidR="45081017" w:rsidRPr="16D0F8A3">
        <w:rPr>
          <w:rFonts w:ascii="Times New Roman" w:eastAsia="Times New Roman" w:hAnsi="Times New Roman"/>
          <w:b/>
          <w:bCs/>
          <w:color w:val="000000" w:themeColor="text1"/>
          <w:sz w:val="26"/>
          <w:szCs w:val="26"/>
          <w:u w:val="single"/>
        </w:rPr>
        <w:t>Da irredutibilidade</w:t>
      </w:r>
    </w:p>
    <w:p w14:paraId="7F9C5093" w14:textId="41AE2CDB"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6904F8E5" w14:textId="4802EEE5" w:rsidR="0D1069A5" w:rsidRDefault="45081017" w:rsidP="16D0F8A3">
      <w:pPr>
        <w:spacing w:after="0" w:line="240" w:lineRule="auto"/>
        <w:ind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O inciso XV do artigo 37 da Constituição da República dispõe sobre o direito de irredutibilidade dos vencimentos dos servidores públicos:</w:t>
      </w:r>
    </w:p>
    <w:p w14:paraId="651F9421" w14:textId="7BAD56F3"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7C98A3B4" w14:textId="2F87DEC7"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Art. 37. A administração pública direta e indireta de qualquer dos Poderes da União, dos Estados, do Distrito Federal e dos Municípios obedecerá aos princípios de legalidade, impessoalidade, moralidade, publicidade e eficiência e, também, ao seguinte: </w:t>
      </w:r>
    </w:p>
    <w:p w14:paraId="6D468D1A" w14:textId="72666C71"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XV - o subsídio e os vencimentos dos ocupantes de cargos e empregos públicos são irredutíveis, ressalvado o disposto nos incisos XI e XIV deste artigo e nos arts. 39, § 4º, 150, II, 153, III, e 153, § 2º, I;</w:t>
      </w:r>
    </w:p>
    <w:p w14:paraId="5563CEEB" w14:textId="52F8B561" w:rsidR="0D1069A5" w:rsidRDefault="0D1069A5" w:rsidP="16D0F8A3">
      <w:pPr>
        <w:spacing w:after="0" w:line="240" w:lineRule="auto"/>
        <w:ind w:left="1701"/>
        <w:jc w:val="both"/>
        <w:rPr>
          <w:rFonts w:ascii="Times New Roman" w:eastAsia="Times New Roman" w:hAnsi="Times New Roman"/>
          <w:color w:val="000000" w:themeColor="text1"/>
          <w:sz w:val="26"/>
          <w:szCs w:val="26"/>
        </w:rPr>
      </w:pPr>
    </w:p>
    <w:p w14:paraId="3C64E214" w14:textId="76B99A6F" w:rsidR="0D1069A5" w:rsidRDefault="45081017" w:rsidP="16D0F8A3">
      <w:pPr>
        <w:spacing w:after="0" w:line="240" w:lineRule="auto"/>
        <w:ind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Esse direito de não redução da remuneração se estende a todos os servidores públicos e os protege de leis e atos normativos que eventualmente o </w:t>
      </w:r>
      <w:r w:rsidRPr="16D0F8A3">
        <w:rPr>
          <w:rFonts w:ascii="Times New Roman" w:eastAsia="Times New Roman" w:hAnsi="Times New Roman"/>
          <w:color w:val="000000" w:themeColor="text1"/>
          <w:sz w:val="26"/>
          <w:szCs w:val="26"/>
        </w:rPr>
        <w:lastRenderedPageBreak/>
        <w:t>violem. Inclusive, o Supremo Tribunal Federal já pacificou o entendimento de que o termo “vencimentos” tem abrangência ampla, no sentido de corresponder à remuneração global, permitindo a extensão, inclusive, da garantia aos cargos em comissão, funções comissionadas, gratificações e demais parcelas remuneratórias, conforme se constata na decisão do RE nº 518.956:</w:t>
      </w:r>
    </w:p>
    <w:p w14:paraId="57560D33" w14:textId="5CEAAEE5"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132B81B4" w14:textId="6667251A"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DIREITO ADMINISTRATIVO. AGRAVO REGIMENTAL EM RECURSO EXTRAORDINÁRIO. SERVIDOR PÚBLICO. EXERCÍCIO DE CARGO DE DIREÇÃO. REDUÇÃO DO PERCENTUAL DE OPÇÃO. OFENSA À IRREDUTIBILIDADE DE VENCIMENTOS. SÚMULA 279/STF. 1. A decisão agravada alinha-se ao entendimento do Supremo Tribunal Federal no sentido de que a irredutibilidade de vencimento dos servidores, prevista no art. 37, XV, da Constituição Federal se aplica também às funções de confiança e cargos em comissão exercidos por servidores efetivos. Precedentes. 2. Para dissentir do entendimento do Tribunal de origem, acerca da ocorrência de decesso remuneratório, seria necessário o reexame dos fatos e provas constantes dos autos. Incidência da Súmula 279/STF. 3. Agravo regimental a que se nega provimento. (RE 518956 AgR, Relator(a): Min. ROBERTO BARROSO, Primeira Turma, julgado em 06/10/2015, ACÓRDÃO ELETRÔNICO DJe-216 DIVULG 27-10-2015 PUBLIC 28-10-2015)</w:t>
      </w:r>
    </w:p>
    <w:p w14:paraId="0675052D" w14:textId="1A068FB2"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143EF33C" w14:textId="740BCBD3"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3427A8">
        <w:rPr>
          <w:rFonts w:ascii="Times New Roman" w:eastAsia="Times New Roman" w:hAnsi="Times New Roman"/>
          <w:color w:val="000000" w:themeColor="text1"/>
          <w:sz w:val="26"/>
          <w:szCs w:val="26"/>
        </w:rPr>
        <w:t>Assim, o</w:t>
      </w:r>
      <w:r w:rsidR="63DCF935" w:rsidRPr="163427A8">
        <w:rPr>
          <w:rFonts w:ascii="Times New Roman" w:eastAsia="Times New Roman" w:hAnsi="Times New Roman"/>
          <w:color w:val="000000" w:themeColor="text1"/>
          <w:sz w:val="26"/>
          <w:szCs w:val="26"/>
        </w:rPr>
        <w:t xml:space="preserve"> servidor possui</w:t>
      </w:r>
      <w:r w:rsidRPr="163427A8">
        <w:rPr>
          <w:rFonts w:ascii="Times New Roman" w:eastAsia="Times New Roman" w:hAnsi="Times New Roman"/>
          <w:color w:val="000000" w:themeColor="text1"/>
          <w:sz w:val="26"/>
          <w:szCs w:val="26"/>
        </w:rPr>
        <w:t xml:space="preserve"> a garantia de que seus vencimentos não sofrerão redução. Soma-se a isso o fato de já possu</w:t>
      </w:r>
      <w:r w:rsidR="45689FA7" w:rsidRPr="163427A8">
        <w:rPr>
          <w:rFonts w:ascii="Times New Roman" w:eastAsia="Times New Roman" w:hAnsi="Times New Roman"/>
          <w:color w:val="000000" w:themeColor="text1"/>
          <w:sz w:val="26"/>
          <w:szCs w:val="26"/>
        </w:rPr>
        <w:t>ir</w:t>
      </w:r>
      <w:r w:rsidRPr="163427A8">
        <w:rPr>
          <w:rFonts w:ascii="Times New Roman" w:eastAsia="Times New Roman" w:hAnsi="Times New Roman"/>
          <w:color w:val="000000" w:themeColor="text1"/>
          <w:sz w:val="26"/>
          <w:szCs w:val="26"/>
        </w:rPr>
        <w:t xml:space="preserve"> a gratificação por mais de 5 anos incorporada, fazendo com que a repercussão também nos proventos seja uma decorrência legal, conforme o § 11 do artigo 201, combinado com o § 12 do artigo 40, ambos da Constituição</w:t>
      </w:r>
      <w:r w:rsidR="0D1069A5" w:rsidRPr="163427A8">
        <w:rPr>
          <w:rStyle w:val="Refdenotaderodap"/>
          <w:rFonts w:ascii="Times New Roman" w:eastAsia="Times New Roman" w:hAnsi="Times New Roman"/>
          <w:color w:val="000000" w:themeColor="text1"/>
          <w:sz w:val="26"/>
          <w:szCs w:val="26"/>
        </w:rPr>
        <w:footnoteReference w:id="11"/>
      </w:r>
      <w:r w:rsidRPr="163427A8">
        <w:rPr>
          <w:rFonts w:ascii="Times New Roman" w:eastAsia="Times New Roman" w:hAnsi="Times New Roman"/>
          <w:color w:val="000000" w:themeColor="text1"/>
          <w:sz w:val="26"/>
          <w:szCs w:val="26"/>
        </w:rPr>
        <w:t>.</w:t>
      </w:r>
    </w:p>
    <w:p w14:paraId="64AB4FE8" w14:textId="31DCEDB4"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 </w:t>
      </w:r>
    </w:p>
    <w:p w14:paraId="1479EDE5" w14:textId="02B36981"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Além disso, também por força do § 12 do artigo 40 da Constituição da República Federativa do Brasil, os princípios gerais que regem o RGPS devem ser aplicados ao RPPS, como é o caso da irredutibilidade no valor dos benefícios presente no inciso IV do parágrafo único do artigo 194 da Constituição da República Federativa do Brasil:</w:t>
      </w:r>
    </w:p>
    <w:p w14:paraId="307F7155" w14:textId="23394FE7"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462CE429" w14:textId="0D3D7316" w:rsidR="0D1069A5" w:rsidRDefault="45081017" w:rsidP="16D0F8A3">
      <w:pPr>
        <w:spacing w:after="0" w:line="240" w:lineRule="auto"/>
        <w:ind w:left="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rPr>
        <w:t>Art. 194. A seguridade social compreende um conjunto integrado de ações de iniciativa dos Poderes Públicos e da sociedade, destinadas a assegurar os direitos relativos à saúde, à previdência e à assistência social. Parágrafo único. Compete ao Poder Público, nos termos da lei, organizar a seguridade social, com base nos seguintes objetivos: (...) IV - irredutibilidade do valor dos benefícios;</w:t>
      </w:r>
      <w:r w:rsidRPr="16D0F8A3">
        <w:rPr>
          <w:rFonts w:ascii="Times New Roman" w:eastAsia="Times New Roman" w:hAnsi="Times New Roman"/>
          <w:color w:val="000000" w:themeColor="text1"/>
          <w:sz w:val="26"/>
          <w:szCs w:val="26"/>
        </w:rPr>
        <w:t xml:space="preserve"> </w:t>
      </w:r>
    </w:p>
    <w:p w14:paraId="5A07C612" w14:textId="3FE41176" w:rsidR="0D1069A5" w:rsidRDefault="0D1069A5" w:rsidP="16D0F8A3">
      <w:pPr>
        <w:spacing w:after="0" w:line="240" w:lineRule="auto"/>
        <w:ind w:left="1701"/>
        <w:jc w:val="both"/>
        <w:rPr>
          <w:rFonts w:ascii="Times New Roman" w:eastAsia="Times New Roman" w:hAnsi="Times New Roman"/>
          <w:color w:val="000000" w:themeColor="text1"/>
          <w:sz w:val="26"/>
          <w:szCs w:val="26"/>
        </w:rPr>
      </w:pPr>
    </w:p>
    <w:p w14:paraId="78D1AB90" w14:textId="697879D5" w:rsidR="0D1069A5" w:rsidRDefault="45081017" w:rsidP="16D0F8A3">
      <w:pPr>
        <w:spacing w:after="0" w:line="240" w:lineRule="auto"/>
        <w:ind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lastRenderedPageBreak/>
        <w:t>A doutrina estabelece que o entendimento é que o valor nominal não pode ser reduzido, para não haver a depreciação do benefício:</w:t>
      </w:r>
    </w:p>
    <w:p w14:paraId="6E2CF375" w14:textId="2BA815DE" w:rsidR="0D1069A5" w:rsidRDefault="0D1069A5" w:rsidP="16D0F8A3">
      <w:pPr>
        <w:spacing w:after="0" w:line="240" w:lineRule="auto"/>
        <w:ind w:left="1701"/>
        <w:jc w:val="both"/>
        <w:rPr>
          <w:rFonts w:ascii="Times New Roman" w:eastAsia="Times New Roman" w:hAnsi="Times New Roman"/>
          <w:color w:val="000000" w:themeColor="text1"/>
          <w:sz w:val="26"/>
          <w:szCs w:val="26"/>
        </w:rPr>
      </w:pPr>
    </w:p>
    <w:p w14:paraId="18774EB8" w14:textId="645424AE" w:rsidR="0D1069A5" w:rsidRDefault="45081017" w:rsidP="16D0F8A3">
      <w:pPr>
        <w:spacing w:after="0" w:line="240" w:lineRule="auto"/>
        <w:ind w:left="1701"/>
        <w:jc w:val="both"/>
        <w:rPr>
          <w:rFonts w:ascii="Times New Roman" w:eastAsia="Times New Roman" w:hAnsi="Times New Roman"/>
          <w:color w:val="000000" w:themeColor="text1"/>
          <w:sz w:val="26"/>
          <w:szCs w:val="26"/>
        </w:rPr>
      </w:pPr>
      <w:r w:rsidRPr="163427A8">
        <w:rPr>
          <w:rFonts w:ascii="Times New Roman" w:eastAsia="Times New Roman" w:hAnsi="Times New Roman"/>
          <w:color w:val="000000" w:themeColor="text1"/>
        </w:rPr>
        <w:t xml:space="preserve"> Não há, pois, como se prestigiar soluções infraconstitucionais que levem à depreciação do valor dos benefícios, não havendo como se possibilitar a sua redução nominal. Entenda-se como tal toda aquela situação que possibilite a depreciação do valor real de compra dos benefícios</w:t>
      </w:r>
      <w:r w:rsidR="0D1069A5" w:rsidRPr="163427A8">
        <w:rPr>
          <w:rStyle w:val="Refdenotaderodap"/>
          <w:rFonts w:ascii="Times New Roman" w:eastAsia="Times New Roman" w:hAnsi="Times New Roman"/>
          <w:color w:val="000000" w:themeColor="text1"/>
        </w:rPr>
        <w:footnoteReference w:id="12"/>
      </w:r>
      <w:r w:rsidRPr="163427A8">
        <w:rPr>
          <w:rFonts w:ascii="Times New Roman" w:eastAsia="Times New Roman" w:hAnsi="Times New Roman"/>
          <w:color w:val="000000" w:themeColor="text1"/>
        </w:rPr>
        <w:t>.</w:t>
      </w:r>
      <w:r w:rsidRPr="163427A8">
        <w:rPr>
          <w:rFonts w:ascii="Times New Roman" w:eastAsia="Times New Roman" w:hAnsi="Times New Roman"/>
          <w:color w:val="000000" w:themeColor="text1"/>
          <w:sz w:val="26"/>
          <w:szCs w:val="26"/>
        </w:rPr>
        <w:t xml:space="preserve"> </w:t>
      </w:r>
    </w:p>
    <w:p w14:paraId="01DCB8A7" w14:textId="352BD1E0" w:rsidR="0D1069A5" w:rsidRDefault="0D1069A5" w:rsidP="16D0F8A3">
      <w:pPr>
        <w:spacing w:after="0" w:line="240" w:lineRule="auto"/>
        <w:ind w:left="1701"/>
        <w:jc w:val="both"/>
        <w:rPr>
          <w:rFonts w:ascii="Times New Roman" w:eastAsia="Times New Roman" w:hAnsi="Times New Roman"/>
          <w:color w:val="000000" w:themeColor="text1"/>
          <w:sz w:val="26"/>
          <w:szCs w:val="26"/>
        </w:rPr>
      </w:pPr>
    </w:p>
    <w:p w14:paraId="40708717" w14:textId="16AF6215"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Dessa forma, o</w:t>
      </w:r>
      <w:r w:rsidR="6DDDAE48" w:rsidRPr="16D0F8A3">
        <w:rPr>
          <w:rFonts w:ascii="Times New Roman" w:eastAsia="Times New Roman" w:hAnsi="Times New Roman"/>
          <w:color w:val="000000" w:themeColor="text1"/>
          <w:sz w:val="26"/>
          <w:szCs w:val="26"/>
        </w:rPr>
        <w:t xml:space="preserve"> servidor</w:t>
      </w:r>
      <w:r w:rsidRPr="16D0F8A3">
        <w:rPr>
          <w:rFonts w:ascii="Times New Roman" w:eastAsia="Times New Roman" w:hAnsi="Times New Roman"/>
          <w:color w:val="000000" w:themeColor="text1"/>
          <w:sz w:val="26"/>
          <w:szCs w:val="26"/>
        </w:rPr>
        <w:t xml:space="preserve"> possu</w:t>
      </w:r>
      <w:r w:rsidR="156B897F" w:rsidRPr="16D0F8A3">
        <w:rPr>
          <w:rFonts w:ascii="Times New Roman" w:eastAsia="Times New Roman" w:hAnsi="Times New Roman"/>
          <w:color w:val="000000" w:themeColor="text1"/>
          <w:sz w:val="26"/>
          <w:szCs w:val="26"/>
        </w:rPr>
        <w:t>i</w:t>
      </w:r>
      <w:r w:rsidRPr="16D0F8A3">
        <w:rPr>
          <w:rFonts w:ascii="Times New Roman" w:eastAsia="Times New Roman" w:hAnsi="Times New Roman"/>
          <w:color w:val="000000" w:themeColor="text1"/>
          <w:sz w:val="26"/>
          <w:szCs w:val="26"/>
        </w:rPr>
        <w:t xml:space="preserve"> o direito do recebimento cumulativo das duas parcelas e o contrário fere diversos princípios e direitos constitucionais, como o direito adquirido, a coisa julgada, a decadência, a irredutibilidade de vencimentos e, devido a isso, é que a cumulação das parcelas não pode ser negada aos servidores.</w:t>
      </w:r>
    </w:p>
    <w:p w14:paraId="58927196" w14:textId="42E9ECCA"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12FA9109" w14:textId="654601B9" w:rsidR="0D1069A5" w:rsidRDefault="0049716F" w:rsidP="16D0F8A3">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b/>
          <w:bCs/>
          <w:color w:val="000000" w:themeColor="text1"/>
          <w:sz w:val="26"/>
          <w:szCs w:val="26"/>
        </w:rPr>
        <w:t>2</w:t>
      </w:r>
      <w:r w:rsidR="45081017" w:rsidRPr="16D0F8A3">
        <w:rPr>
          <w:rFonts w:ascii="Times New Roman" w:eastAsia="Times New Roman" w:hAnsi="Times New Roman"/>
          <w:b/>
          <w:bCs/>
          <w:color w:val="000000" w:themeColor="text1"/>
          <w:sz w:val="26"/>
          <w:szCs w:val="26"/>
        </w:rPr>
        <w:t>.</w:t>
      </w:r>
      <w:r>
        <w:rPr>
          <w:rFonts w:ascii="Times New Roman" w:eastAsia="Times New Roman" w:hAnsi="Times New Roman"/>
          <w:b/>
          <w:bCs/>
          <w:color w:val="000000" w:themeColor="text1"/>
          <w:sz w:val="26"/>
          <w:szCs w:val="26"/>
        </w:rPr>
        <w:t>8</w:t>
      </w:r>
      <w:r w:rsidR="45081017" w:rsidRPr="16D0F8A3">
        <w:rPr>
          <w:rFonts w:ascii="Times New Roman" w:eastAsia="Times New Roman" w:hAnsi="Times New Roman"/>
          <w:b/>
          <w:bCs/>
          <w:color w:val="000000" w:themeColor="text1"/>
          <w:sz w:val="26"/>
          <w:szCs w:val="26"/>
        </w:rPr>
        <w:t xml:space="preserve">. </w:t>
      </w:r>
      <w:r w:rsidR="45081017" w:rsidRPr="16D0F8A3">
        <w:rPr>
          <w:rFonts w:ascii="Times New Roman" w:eastAsia="Times New Roman" w:hAnsi="Times New Roman"/>
          <w:b/>
          <w:bCs/>
          <w:color w:val="000000" w:themeColor="text1"/>
          <w:sz w:val="26"/>
          <w:szCs w:val="26"/>
          <w:u w:val="single"/>
        </w:rPr>
        <w:t>Desrespeito ao caráter contributivo</w:t>
      </w:r>
    </w:p>
    <w:p w14:paraId="49C82FA0" w14:textId="73771FB2"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13DA112C" w14:textId="54308DC6"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Deve-se observar ainda que, no que se refere aos futuros proventos, conforme entendimento recente do Supremo Tribunal Federal no Recurso Extraordinário 593.068, há contribuição previdenciária apenas sobre as parcelas que se incorporam à aposentadoria e, como no presente caso houve o desconto sobre ambas as parcelas, ambas devem ter repercussão sobre os proventos:</w:t>
      </w:r>
    </w:p>
    <w:p w14:paraId="6B8627CB" w14:textId="61841AB4"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4898D6EC" w14:textId="665F9A72"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sz w:val="20"/>
          <w:szCs w:val="20"/>
        </w:rPr>
        <w:t xml:space="preserve">DIREITO PREVIDENCIÁRIO. </w:t>
      </w:r>
      <w:r w:rsidRPr="16D0F8A3">
        <w:rPr>
          <w:rFonts w:ascii="Times New Roman" w:eastAsia="Times New Roman" w:hAnsi="Times New Roman"/>
          <w:b/>
          <w:bCs/>
          <w:color w:val="000000" w:themeColor="text1"/>
          <w:sz w:val="20"/>
          <w:szCs w:val="20"/>
        </w:rPr>
        <w:t>RECURSO EXTRAORDINÁRIO COM REPERCUSSÃO GERAL</w:t>
      </w:r>
      <w:r w:rsidRPr="16D0F8A3">
        <w:rPr>
          <w:rFonts w:ascii="Times New Roman" w:eastAsia="Times New Roman" w:hAnsi="Times New Roman"/>
          <w:color w:val="000000" w:themeColor="text1"/>
          <w:sz w:val="20"/>
          <w:szCs w:val="20"/>
        </w:rPr>
        <w:t xml:space="preserve">. REGIME PRÓPRIO DOS SERVIDORES PÚBLICOS. </w:t>
      </w:r>
      <w:r w:rsidRPr="16D0F8A3">
        <w:rPr>
          <w:rFonts w:ascii="Times New Roman" w:eastAsia="Times New Roman" w:hAnsi="Times New Roman"/>
          <w:b/>
          <w:bCs/>
          <w:color w:val="000000" w:themeColor="text1"/>
          <w:sz w:val="20"/>
          <w:szCs w:val="20"/>
        </w:rPr>
        <w:t>NÃO INCIDÊNCIA DE CONTRIBUIÇÕES PREVIDENCIÁRIAS SOBRE PARCELAS NÃO INCORPORÁVEIS À APOSENTADORIA</w:t>
      </w:r>
      <w:r w:rsidRPr="16D0F8A3">
        <w:rPr>
          <w:rFonts w:ascii="Times New Roman" w:eastAsia="Times New Roman" w:hAnsi="Times New Roman"/>
          <w:color w:val="000000" w:themeColor="text1"/>
          <w:sz w:val="20"/>
          <w:szCs w:val="20"/>
        </w:rPr>
        <w:t>.</w:t>
      </w:r>
      <w:r w:rsidRPr="16D0F8A3">
        <w:rPr>
          <w:rFonts w:ascii="Times New Roman" w:eastAsia="Times New Roman" w:hAnsi="Times New Roman"/>
          <w:color w:val="000000" w:themeColor="text1"/>
        </w:rPr>
        <w:t xml:space="preserve"> (...)</w:t>
      </w:r>
    </w:p>
    <w:p w14:paraId="7E905B6B" w14:textId="6AD231FF"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b/>
          <w:bCs/>
          <w:color w:val="000000" w:themeColor="text1"/>
        </w:rPr>
        <w:t xml:space="preserve">3. Ademais, a dimensão contributiva do sistema é incompatível com a cobrança de contribuição previdenciária sem que se confira ao segurado qualquer benefício, efetivo ou potencial. </w:t>
      </w:r>
    </w:p>
    <w:p w14:paraId="57D59342" w14:textId="223BACD6"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4. Por fim, não é possível invocar o princípio da solidariedade para inovar no tocante à regra que estabelece a base econômica do tributo. </w:t>
      </w:r>
    </w:p>
    <w:p w14:paraId="14D0E834" w14:textId="5BE64B5E"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5. À luz das premissas estabelecidas, é fixada em repercussão geral a seguinte </w:t>
      </w:r>
      <w:r w:rsidRPr="16D0F8A3">
        <w:rPr>
          <w:rFonts w:ascii="Times New Roman" w:eastAsia="Times New Roman" w:hAnsi="Times New Roman"/>
          <w:b/>
          <w:bCs/>
          <w:color w:val="000000" w:themeColor="text1"/>
        </w:rPr>
        <w:t>tese</w:t>
      </w:r>
      <w:r w:rsidRPr="16D0F8A3">
        <w:rPr>
          <w:rFonts w:ascii="Times New Roman" w:eastAsia="Times New Roman" w:hAnsi="Times New Roman"/>
          <w:color w:val="000000" w:themeColor="text1"/>
        </w:rPr>
        <w:t xml:space="preserve">: </w:t>
      </w:r>
      <w:r w:rsidRPr="16D0F8A3">
        <w:rPr>
          <w:rFonts w:ascii="Times New Roman" w:eastAsia="Times New Roman" w:hAnsi="Times New Roman"/>
          <w:i/>
          <w:iCs/>
          <w:color w:val="000000" w:themeColor="text1"/>
        </w:rPr>
        <w:t>“</w:t>
      </w:r>
      <w:r w:rsidRPr="16D0F8A3">
        <w:rPr>
          <w:rFonts w:ascii="Times New Roman" w:eastAsia="Times New Roman" w:hAnsi="Times New Roman"/>
          <w:b/>
          <w:bCs/>
          <w:i/>
          <w:iCs/>
          <w:color w:val="000000" w:themeColor="text1"/>
        </w:rPr>
        <w:t>Não incide contribuição previdenciária sobre verba não incorporável aos proventos de aposentadoria do servidor público, tais como ‘terço de férias’, ‘serviços extraordinários’, ‘adicional noturno’ e ‘adicional de insalubridade</w:t>
      </w:r>
      <w:r w:rsidRPr="16D0F8A3">
        <w:rPr>
          <w:rFonts w:ascii="Times New Roman" w:eastAsia="Times New Roman" w:hAnsi="Times New Roman"/>
          <w:color w:val="000000" w:themeColor="text1"/>
        </w:rPr>
        <w:t>.” 6. Provimento parcial do recurso extraordinário, para determinar a restituição das parcelas não prescritas. (grifou-se)</w:t>
      </w:r>
    </w:p>
    <w:p w14:paraId="64940FDB" w14:textId="4C7B68B7" w:rsidR="0D1069A5" w:rsidRDefault="0D1069A5" w:rsidP="16D0F8A3">
      <w:pPr>
        <w:spacing w:after="0" w:line="240" w:lineRule="auto"/>
        <w:jc w:val="both"/>
        <w:rPr>
          <w:rFonts w:ascii="Times New Roman" w:eastAsia="Times New Roman" w:hAnsi="Times New Roman"/>
          <w:color w:val="000000" w:themeColor="text1"/>
          <w:sz w:val="26"/>
          <w:szCs w:val="26"/>
        </w:rPr>
      </w:pPr>
    </w:p>
    <w:p w14:paraId="3BB88DBF" w14:textId="09F12B15"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Com efeito, </w:t>
      </w:r>
      <w:r w:rsidRPr="16D0F8A3">
        <w:rPr>
          <w:rFonts w:ascii="Times New Roman" w:eastAsia="Times New Roman" w:hAnsi="Times New Roman"/>
          <w:b/>
          <w:bCs/>
          <w:color w:val="000000" w:themeColor="text1"/>
          <w:sz w:val="26"/>
          <w:szCs w:val="26"/>
        </w:rPr>
        <w:t>se houve a incidência de contribuição previdenciária sobre ambas as parcelas, deve haver a incorporação aos proventos de aposentadoria</w:t>
      </w:r>
      <w:r w:rsidRPr="16D0F8A3">
        <w:rPr>
          <w:rFonts w:ascii="Times New Roman" w:eastAsia="Times New Roman" w:hAnsi="Times New Roman"/>
          <w:color w:val="000000" w:themeColor="text1"/>
          <w:sz w:val="26"/>
          <w:szCs w:val="26"/>
        </w:rPr>
        <w:t>, devido ao caráter contributivo do regime previdenciário. Bem por isso que, em seu voto, o relator destacou que a não incidência da contribuição previdenciária sobre verbas não incorporáveis aos proventos se dá devido ao caráter contributivo do sistema previdenciário, já que se faz necessária a contraprestação efetiva ou potencial:</w:t>
      </w:r>
    </w:p>
    <w:p w14:paraId="7687E206" w14:textId="00CA719A"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44A89BB0" w14:textId="7A2DB40B"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 Assim, o caráter solidário do sistema afasta a existência de uma simetria perfeita entre contribuição e benefício (como em um sinalagma), enquanto a natureza contributiva </w:t>
      </w:r>
      <w:r w:rsidRPr="16D0F8A3">
        <w:rPr>
          <w:rFonts w:ascii="Times New Roman" w:eastAsia="Times New Roman" w:hAnsi="Times New Roman"/>
          <w:b/>
          <w:bCs/>
          <w:color w:val="000000" w:themeColor="text1"/>
        </w:rPr>
        <w:t xml:space="preserve">impede a cobrança de contribuição previdenciária sem que se confira ao segurado qualquer contraprestação, efetiva ou potencial </w:t>
      </w:r>
      <w:r w:rsidRPr="16D0F8A3">
        <w:rPr>
          <w:rFonts w:ascii="Times New Roman" w:eastAsia="Times New Roman" w:hAnsi="Times New Roman"/>
          <w:color w:val="000000" w:themeColor="text1"/>
        </w:rPr>
        <w:t>(grifou-se)</w:t>
      </w:r>
    </w:p>
    <w:p w14:paraId="18BFB30F" w14:textId="4A70D075"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19922529" w14:textId="79576C33"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3427A8">
        <w:rPr>
          <w:rFonts w:ascii="Times New Roman" w:eastAsia="Times New Roman" w:hAnsi="Times New Roman"/>
          <w:color w:val="000000" w:themeColor="text1"/>
          <w:sz w:val="26"/>
          <w:szCs w:val="26"/>
        </w:rPr>
        <w:t>A propósito, no que tange à VPNI de quintos, o próprio TCU reconhece que essa, posteriormente, incorpora-se definitivamente ao patrimônio dos servidores, compondo, em razão disso, os proventos de aposentadoria, valores sobre os quais incidiu a devida contribuição, entendimento que também prepondera no STF e STJ</w:t>
      </w:r>
      <w:r w:rsidR="0D1069A5" w:rsidRPr="163427A8">
        <w:rPr>
          <w:rStyle w:val="Refdenotaderodap"/>
          <w:rFonts w:ascii="Times New Roman" w:eastAsia="Times New Roman" w:hAnsi="Times New Roman"/>
          <w:color w:val="000000" w:themeColor="text1"/>
          <w:sz w:val="26"/>
          <w:szCs w:val="26"/>
        </w:rPr>
        <w:footnoteReference w:id="13"/>
      </w:r>
      <w:r w:rsidRPr="163427A8">
        <w:rPr>
          <w:rFonts w:ascii="Times New Roman" w:eastAsia="Times New Roman" w:hAnsi="Times New Roman"/>
          <w:color w:val="000000" w:themeColor="text1"/>
          <w:sz w:val="26"/>
          <w:szCs w:val="26"/>
        </w:rPr>
        <w:t>:</w:t>
      </w:r>
    </w:p>
    <w:p w14:paraId="367F98D4" w14:textId="15A1E4F2"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33C7FA40" w14:textId="79F891A7"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 23. É que a aludida parcela de VPNI, </w:t>
      </w:r>
      <w:r w:rsidRPr="16D0F8A3">
        <w:rPr>
          <w:rFonts w:ascii="Times New Roman" w:eastAsia="Times New Roman" w:hAnsi="Times New Roman"/>
          <w:b/>
          <w:bCs/>
          <w:color w:val="000000" w:themeColor="text1"/>
        </w:rPr>
        <w:t>diferentemente das funções comissionadas (de natureza transitória, somente percebida durante o exercício da função), se incorpora definitivamente ao patrimônio do servidor, compondo, em razão disso, os proventos da sua aposentadoria ou da pensão por ele instituída, no caso de morte</w:t>
      </w:r>
      <w:r w:rsidRPr="16D0F8A3">
        <w:rPr>
          <w:rFonts w:ascii="Times New Roman" w:eastAsia="Times New Roman" w:hAnsi="Times New Roman"/>
          <w:color w:val="000000" w:themeColor="text1"/>
        </w:rPr>
        <w:t>. Portanto, sobre tal parcela é devida a contribuição previdenciária, quer na vigência das Emendas Constitucionais ns. 20/1998 e 41/2003, quer antes dessas Emendas Constitucionais. (...)</w:t>
      </w:r>
    </w:p>
    <w:p w14:paraId="4E31C6D1" w14:textId="32B3B02B"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34. (...) Ou seja, o STF, a contrário senso, dispôs que, se a vantagem for incorporável ao vencimento para cálculo dos proventos da aposentadoria ou para instituição de pensão, como o é a vantagem denominada VPNI, a incidência da contribuição previdenciária é devida, sendo, pois, legítimo o seu desconto. (...)</w:t>
      </w:r>
    </w:p>
    <w:p w14:paraId="35683FEB" w14:textId="0FA6AD69"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(Processo 021.314/2007-1. Plenário do Tribunal de Contas da União, Acórdão 1.286/2008, Rel. Min. Marcos Bemquerer Costa, j. 02/07/2008)</w:t>
      </w:r>
    </w:p>
    <w:p w14:paraId="1D2CEFDB" w14:textId="7FA19BC5"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7B6585AE" w14:textId="7D84D68D" w:rsidR="0D1069A5" w:rsidRDefault="45081017" w:rsidP="16D0F8A3">
      <w:pPr>
        <w:spacing w:after="0" w:line="240" w:lineRule="auto"/>
        <w:ind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lastRenderedPageBreak/>
        <w:t>Dessa forma, a contribuição efetivada sobre a VPNI, durante décadas, exige sua incorporação à aposentadoria e a manutenção do seu pagamento. O mesmo se dá por força do artigo 16 da Lei 11.416/2006 (que prevê a GAE), sob o enfoque do previsto no artigo 28 da mesma lei (que prevê sua incorporação na aposentadoria), e ainda o disposto no artigo 4º, do Anexo II, da Portaria Conjunta nº 1/2007 (Anexo, que prevê contribuição previdenciária sobre a GAE e sua incorporação).</w:t>
      </w:r>
    </w:p>
    <w:p w14:paraId="7DE7915C" w14:textId="08CF28E7"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306C85AC" w14:textId="4D354A66" w:rsidR="0D1069A5" w:rsidRDefault="0049716F" w:rsidP="16D0F8A3">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b/>
          <w:bCs/>
          <w:color w:val="000000" w:themeColor="text1"/>
          <w:sz w:val="26"/>
          <w:szCs w:val="26"/>
        </w:rPr>
        <w:t>2</w:t>
      </w:r>
      <w:r w:rsidR="45081017" w:rsidRPr="16D0F8A3">
        <w:rPr>
          <w:rFonts w:ascii="Times New Roman" w:eastAsia="Times New Roman" w:hAnsi="Times New Roman"/>
          <w:b/>
          <w:bCs/>
          <w:color w:val="000000" w:themeColor="text1"/>
          <w:sz w:val="26"/>
          <w:szCs w:val="26"/>
        </w:rPr>
        <w:t>.</w:t>
      </w:r>
      <w:r>
        <w:rPr>
          <w:rFonts w:ascii="Times New Roman" w:eastAsia="Times New Roman" w:hAnsi="Times New Roman"/>
          <w:b/>
          <w:bCs/>
          <w:color w:val="000000" w:themeColor="text1"/>
          <w:sz w:val="26"/>
          <w:szCs w:val="26"/>
        </w:rPr>
        <w:t>9</w:t>
      </w:r>
      <w:r w:rsidR="45081017" w:rsidRPr="16D0F8A3">
        <w:rPr>
          <w:rFonts w:ascii="Times New Roman" w:eastAsia="Times New Roman" w:hAnsi="Times New Roman"/>
          <w:b/>
          <w:bCs/>
          <w:color w:val="000000" w:themeColor="text1"/>
          <w:sz w:val="26"/>
          <w:szCs w:val="26"/>
        </w:rPr>
        <w:t xml:space="preserve">. </w:t>
      </w:r>
      <w:r w:rsidR="45081017" w:rsidRPr="16D0F8A3">
        <w:rPr>
          <w:rFonts w:ascii="Times New Roman" w:eastAsia="Times New Roman" w:hAnsi="Times New Roman"/>
          <w:b/>
          <w:bCs/>
          <w:color w:val="000000" w:themeColor="text1"/>
          <w:sz w:val="26"/>
          <w:szCs w:val="26"/>
          <w:u w:val="single"/>
        </w:rPr>
        <w:t>Da parcela compensatória: vedação à retroatividade e absorção por reajustes futuros – LINDB e posicionamento anterior do TCU</w:t>
      </w:r>
    </w:p>
    <w:p w14:paraId="3495AFFC" w14:textId="4C1EE271" w:rsidR="0D1069A5" w:rsidRDefault="0D1069A5" w:rsidP="16D0F8A3">
      <w:pPr>
        <w:spacing w:after="0" w:line="240" w:lineRule="auto"/>
        <w:jc w:val="both"/>
        <w:rPr>
          <w:rFonts w:ascii="Times New Roman" w:eastAsia="Times New Roman" w:hAnsi="Times New Roman"/>
          <w:color w:val="000000" w:themeColor="text1"/>
          <w:sz w:val="26"/>
          <w:szCs w:val="26"/>
        </w:rPr>
      </w:pPr>
    </w:p>
    <w:p w14:paraId="77E5F31C" w14:textId="3F3F0054" w:rsidR="0D1069A5" w:rsidRDefault="45081017"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Ainda que </w:t>
      </w:r>
      <w:r w:rsidR="00236FD4">
        <w:rPr>
          <w:rFonts w:ascii="Times New Roman" w:eastAsia="Times New Roman" w:hAnsi="Times New Roman"/>
          <w:color w:val="000000" w:themeColor="text1"/>
          <w:sz w:val="26"/>
          <w:szCs w:val="26"/>
        </w:rPr>
        <w:t xml:space="preserve">superados todos os argumentos anteriores,  o que se admite só a título de </w:t>
      </w:r>
      <w:r w:rsidR="003E5A4C">
        <w:rPr>
          <w:rFonts w:ascii="Times New Roman" w:eastAsia="Times New Roman" w:hAnsi="Times New Roman"/>
          <w:color w:val="000000" w:themeColor="text1"/>
          <w:sz w:val="26"/>
          <w:szCs w:val="26"/>
        </w:rPr>
        <w:t>argumentação</w:t>
      </w:r>
      <w:r w:rsidRPr="16D0F8A3">
        <w:rPr>
          <w:rFonts w:ascii="Times New Roman" w:eastAsia="Times New Roman" w:hAnsi="Times New Roman"/>
          <w:color w:val="000000" w:themeColor="text1"/>
          <w:sz w:val="26"/>
          <w:szCs w:val="26"/>
        </w:rPr>
        <w:t xml:space="preserve">, deve ser levada em consideração a </w:t>
      </w:r>
      <w:r w:rsidRPr="16D0F8A3">
        <w:rPr>
          <w:rFonts w:ascii="Times New Roman" w:eastAsia="Times New Roman" w:hAnsi="Times New Roman"/>
          <w:b/>
          <w:bCs/>
          <w:color w:val="000000" w:themeColor="text1"/>
          <w:sz w:val="26"/>
          <w:szCs w:val="26"/>
        </w:rPr>
        <w:t xml:space="preserve">parcela compensatória </w:t>
      </w:r>
      <w:r w:rsidRPr="16D0F8A3">
        <w:rPr>
          <w:rFonts w:ascii="Times New Roman" w:eastAsia="Times New Roman" w:hAnsi="Times New Roman"/>
          <w:color w:val="000000" w:themeColor="text1"/>
          <w:sz w:val="26"/>
          <w:szCs w:val="26"/>
        </w:rPr>
        <w:t>instituída</w:t>
      </w:r>
      <w:r w:rsidRPr="16D0F8A3">
        <w:rPr>
          <w:rFonts w:ascii="Times New Roman" w:eastAsia="Times New Roman" w:hAnsi="Times New Roman"/>
          <w:b/>
          <w:bCs/>
          <w:color w:val="000000" w:themeColor="text1"/>
          <w:sz w:val="26"/>
          <w:szCs w:val="26"/>
        </w:rPr>
        <w:t xml:space="preserve"> </w:t>
      </w:r>
      <w:r w:rsidRPr="16D0F8A3">
        <w:rPr>
          <w:rFonts w:ascii="Times New Roman" w:eastAsia="Times New Roman" w:hAnsi="Times New Roman"/>
          <w:color w:val="000000" w:themeColor="text1"/>
          <w:sz w:val="26"/>
          <w:szCs w:val="26"/>
        </w:rPr>
        <w:t xml:space="preserve">como modo de procedimento do próprio Tribunal de Contas da União, para privilegiar a boa-fé dos servidores que a recebem. </w:t>
      </w:r>
    </w:p>
    <w:p w14:paraId="6DD20BFA" w14:textId="23A41050"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4D6552D9" w14:textId="141CB1EE" w:rsidR="0D1069A5" w:rsidRDefault="45081017" w:rsidP="16D0F8A3">
      <w:pPr>
        <w:spacing w:after="0" w:line="240" w:lineRule="auto"/>
        <w:ind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Note-se que, para além da evidente violação à decadência prevista no artigo 54 da Lei 9.784/99, a pretensão de efeitos imediatos do Acórdão 2784/2016/TCU-Plenário afronta artigos da Lei de Introdução às Normas do Direito Brasileiro (LINDB), criadas pela</w:t>
      </w:r>
      <w:r w:rsidRPr="16D0F8A3">
        <w:rPr>
          <w:rFonts w:cs="Calibri"/>
          <w:color w:val="000000" w:themeColor="text1"/>
        </w:rPr>
        <w:t xml:space="preserve"> </w:t>
      </w:r>
      <w:r w:rsidRPr="16D0F8A3">
        <w:rPr>
          <w:rFonts w:ascii="Times New Roman" w:eastAsia="Times New Roman" w:hAnsi="Times New Roman"/>
          <w:color w:val="000000" w:themeColor="text1"/>
          <w:sz w:val="26"/>
          <w:szCs w:val="26"/>
        </w:rPr>
        <w:t xml:space="preserve">Lei 13.655/2018, especialmente para a situação em análise. </w:t>
      </w:r>
    </w:p>
    <w:p w14:paraId="7AA6D48A" w14:textId="58C3A294"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7D5F285F" w14:textId="68701526" w:rsidR="0D1069A5" w:rsidRDefault="45081017" w:rsidP="373D5F8C">
      <w:pPr>
        <w:spacing w:after="0" w:line="240" w:lineRule="auto"/>
        <w:ind w:firstLine="1701"/>
        <w:jc w:val="both"/>
        <w:rPr>
          <w:rFonts w:ascii="Times New Roman" w:eastAsia="Times New Roman" w:hAnsi="Times New Roman"/>
          <w:color w:val="000000" w:themeColor="text1"/>
          <w:sz w:val="26"/>
          <w:szCs w:val="26"/>
        </w:rPr>
      </w:pPr>
      <w:r w:rsidRPr="373D5F8C">
        <w:rPr>
          <w:rFonts w:ascii="Times New Roman" w:eastAsia="Times New Roman" w:hAnsi="Times New Roman"/>
          <w:color w:val="000000" w:themeColor="text1"/>
          <w:sz w:val="26"/>
          <w:szCs w:val="26"/>
        </w:rPr>
        <w:t xml:space="preserve">Curiosamente, em situações análogas – envolvendo servidores do seu quadro - o TCU usa a LINDB como referência para estabelecer compensação com </w:t>
      </w:r>
      <w:r w:rsidRPr="003E5A4C">
        <w:rPr>
          <w:rFonts w:ascii="Times New Roman" w:eastAsia="Times New Roman" w:hAnsi="Times New Roman"/>
          <w:b/>
          <w:bCs/>
          <w:color w:val="000000" w:themeColor="text1"/>
          <w:sz w:val="26"/>
          <w:szCs w:val="26"/>
          <w:u w:val="single"/>
        </w:rPr>
        <w:t>reajustes futuros</w:t>
      </w:r>
      <w:r w:rsidRPr="373D5F8C">
        <w:rPr>
          <w:rFonts w:ascii="Times New Roman" w:eastAsia="Times New Roman" w:hAnsi="Times New Roman"/>
          <w:color w:val="000000" w:themeColor="text1"/>
          <w:sz w:val="26"/>
          <w:szCs w:val="26"/>
        </w:rPr>
        <w:t xml:space="preserve"> (e sem retroatividade), privilegiando a segurança-jurídica a boa-fé dos servidores que recebem parcelas com suposto vício de ilegalidade. Um exemplo é o </w:t>
      </w:r>
      <w:r w:rsidRPr="373D5F8C">
        <w:rPr>
          <w:rFonts w:ascii="Times New Roman" w:eastAsia="Times New Roman" w:hAnsi="Times New Roman"/>
          <w:b/>
          <w:bCs/>
          <w:color w:val="000000" w:themeColor="text1"/>
          <w:sz w:val="26"/>
          <w:szCs w:val="26"/>
          <w:u w:val="single"/>
        </w:rPr>
        <w:t>Acórdão nº 2988/2018/TCU-Plenário</w:t>
      </w:r>
      <w:r w:rsidRPr="373D5F8C">
        <w:rPr>
          <w:rFonts w:ascii="Times New Roman" w:eastAsia="Times New Roman" w:hAnsi="Times New Roman"/>
          <w:color w:val="000000" w:themeColor="text1"/>
          <w:sz w:val="26"/>
          <w:szCs w:val="26"/>
        </w:rPr>
        <w:t>, do qual se destacam os seguintes trechos:</w:t>
      </w:r>
    </w:p>
    <w:p w14:paraId="59729095" w14:textId="5E02349B"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19BC55B0" w14:textId="792220D1" w:rsidR="0D1069A5" w:rsidRDefault="45081017" w:rsidP="16D0F8A3">
      <w:pPr>
        <w:spacing w:after="0" w:line="240" w:lineRule="auto"/>
        <w:ind w:left="1701" w:right="1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132. </w:t>
      </w:r>
      <w:r w:rsidRPr="16D0F8A3">
        <w:rPr>
          <w:rFonts w:ascii="Times New Roman" w:eastAsia="Times New Roman" w:hAnsi="Times New Roman"/>
          <w:b/>
          <w:bCs/>
          <w:color w:val="000000" w:themeColor="text1"/>
        </w:rPr>
        <w:t>Em respeito ao princípio da segurança jurídica, proponho que seja assegurado aos servidores que já tiveram seu ato de aposentadoria registrado e cujos proventos são calculados com base na remuneração dos servidores ativos (regra da paridade) a manutenção do pagamento da “opção” sob a forma de vantagem pessoal, a ser absorvida pelos futuros aumentos remuneratórios da categoria e sem prejuízo do pagamento da vantagem prevista no art. 62-A da Lei 8.112/90</w:t>
      </w:r>
      <w:r w:rsidRPr="16D0F8A3">
        <w:rPr>
          <w:rFonts w:ascii="Times New Roman" w:eastAsia="Times New Roman" w:hAnsi="Times New Roman"/>
          <w:color w:val="000000" w:themeColor="text1"/>
        </w:rPr>
        <w:t xml:space="preserve">. (...) 3. Diante disso, em seu voto revisor, o ministro Benjamin Zymler ponderou pela necessidade de modular as perdas, de modo que a extinção de uma das vantagens acumuladas se dê de forma progressiva, a ser equacionada pelos próximos aumentos salariais da carreira dos servidores do TCU, por meio de rubrica pessoal temporária para aqueles que já tiveram os atos de aposentadoria registrados, nos termos da Lei 8.443/1992: referida rubrica reduzirá seu valor a cada vez que o cargo efetivo for beneficiado por aumentos.(...) 29. Com a modulação proposta, evita-se que os </w:t>
      </w:r>
      <w:r w:rsidRPr="16D0F8A3">
        <w:rPr>
          <w:rFonts w:ascii="Times New Roman" w:eastAsia="Times New Roman" w:hAnsi="Times New Roman"/>
          <w:color w:val="000000" w:themeColor="text1"/>
        </w:rPr>
        <w:lastRenderedPageBreak/>
        <w:t xml:space="preserve">servidores, que vêm recebendo os valores da “opção” de boa-fé venham a sofrer uma redução imediata de seus estipêndios, mas não perpetua a irregularidade dos pagamentos. </w:t>
      </w:r>
      <w:r w:rsidRPr="16D0F8A3">
        <w:rPr>
          <w:rFonts w:ascii="Times New Roman" w:eastAsia="Times New Roman" w:hAnsi="Times New Roman"/>
          <w:b/>
          <w:bCs/>
          <w:color w:val="000000" w:themeColor="text1"/>
        </w:rPr>
        <w:t>Uma vez que existe uma relação de trato sucessivo, as alterações futuras da estrutura remuneratória deverão absorver o pagamento da parcela considerada irregular</w:t>
      </w:r>
      <w:r w:rsidRPr="16D0F8A3">
        <w:rPr>
          <w:rFonts w:ascii="Times New Roman" w:eastAsia="Times New Roman" w:hAnsi="Times New Roman"/>
          <w:color w:val="000000" w:themeColor="text1"/>
        </w:rPr>
        <w:t>. 30. Assim, a modulação proposta busca evitar um impacto imediato nos proventos dos servidores, sem, contudo, perpetuar a ilegalidade que vem sendo cometida, em perfeita consonância com a LINDB e o Decreto-lei 200/1967” (Plenário do Tribunal de Contas da União Acórdão 2.988/2018 Relator: Ministro Benjamin Zymler, julgado em 12.12.2018)</w:t>
      </w:r>
    </w:p>
    <w:p w14:paraId="327CA8E3" w14:textId="5373FED4"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483B545E" w14:textId="47A79753" w:rsidR="0D1069A5" w:rsidRDefault="45081017"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O referido processo tratou da situação de servidores inativos do próprio TCU, tendo a Corte de Contas decidido pela manutenção do pagamento da VPNI de quintos, sendo a parcela relativa à função comissionada nos termos do artigo 193 da Lei nº 8.112/1990 </w:t>
      </w:r>
      <w:r w:rsidRPr="16D0F8A3">
        <w:rPr>
          <w:rFonts w:ascii="Times New Roman" w:eastAsia="Times New Roman" w:hAnsi="Times New Roman"/>
          <w:b/>
          <w:bCs/>
          <w:color w:val="000000" w:themeColor="text1"/>
          <w:sz w:val="26"/>
          <w:szCs w:val="26"/>
        </w:rPr>
        <w:t xml:space="preserve">absorvida pelos reajustes remuneratórios </w:t>
      </w:r>
      <w:r w:rsidRPr="00F25736">
        <w:rPr>
          <w:rFonts w:ascii="Times New Roman" w:eastAsia="Times New Roman" w:hAnsi="Times New Roman"/>
          <w:b/>
          <w:bCs/>
          <w:color w:val="000000" w:themeColor="text1"/>
          <w:sz w:val="26"/>
          <w:szCs w:val="26"/>
          <w:u w:val="single"/>
        </w:rPr>
        <w:t>futuros</w:t>
      </w:r>
      <w:r w:rsidRPr="16D0F8A3">
        <w:rPr>
          <w:rFonts w:ascii="Times New Roman" w:eastAsia="Times New Roman" w:hAnsi="Times New Roman"/>
          <w:color w:val="000000" w:themeColor="text1"/>
          <w:sz w:val="26"/>
          <w:szCs w:val="26"/>
        </w:rPr>
        <w:t>.</w:t>
      </w:r>
    </w:p>
    <w:p w14:paraId="12BA6D64" w14:textId="54DD61B0"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6BF1A0A8" w14:textId="1C0C4709" w:rsidR="0D1069A5" w:rsidRDefault="45081017"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Como se verifica do mencionado acórdão, o Tribunal de Contas da União, no que se refere a servidores do seu quadro de pessoal, observou a segurança jurídica e </w:t>
      </w:r>
      <w:r w:rsidRPr="16D0F8A3">
        <w:rPr>
          <w:rFonts w:ascii="Times New Roman" w:eastAsia="Times New Roman" w:hAnsi="Times New Roman"/>
          <w:b/>
          <w:bCs/>
          <w:color w:val="000000" w:themeColor="text1"/>
          <w:sz w:val="26"/>
          <w:szCs w:val="26"/>
        </w:rPr>
        <w:t>somente determinou absorção da parcela pelos reajustes vindouros</w:t>
      </w:r>
      <w:r w:rsidRPr="16D0F8A3">
        <w:rPr>
          <w:rFonts w:ascii="Times New Roman" w:eastAsia="Times New Roman" w:hAnsi="Times New Roman"/>
          <w:color w:val="000000" w:themeColor="text1"/>
          <w:sz w:val="26"/>
          <w:szCs w:val="26"/>
        </w:rPr>
        <w:t>, como não poderia deixar de ser, já que há impropriedade na pretensão de retroagir entendimento para haver compensação com reajustes pretéritos.</w:t>
      </w:r>
    </w:p>
    <w:p w14:paraId="43DBB9F6" w14:textId="5A7119AA"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72792F06" w14:textId="0322ADBC" w:rsidR="0D1069A5" w:rsidRDefault="45081017"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Contudo, no que tange aos Oficiais de Justiça Avaliadores Federais, o entendimento é diverso e mais gravoso, tendo a Corte orientado os tribunais regionais a </w:t>
      </w:r>
      <w:r w:rsidRPr="16D0F8A3">
        <w:rPr>
          <w:rFonts w:ascii="Times New Roman" w:eastAsia="Times New Roman" w:hAnsi="Times New Roman"/>
          <w:b/>
          <w:bCs/>
          <w:color w:val="000000" w:themeColor="text1"/>
          <w:sz w:val="26"/>
          <w:szCs w:val="26"/>
        </w:rPr>
        <w:t>implementarem a absorção de forma retroativa</w:t>
      </w:r>
      <w:r w:rsidRPr="16D0F8A3">
        <w:rPr>
          <w:rFonts w:ascii="Times New Roman" w:eastAsia="Times New Roman" w:hAnsi="Times New Roman"/>
          <w:color w:val="000000" w:themeColor="text1"/>
          <w:sz w:val="26"/>
          <w:szCs w:val="26"/>
        </w:rPr>
        <w:t>, conforme sugere o novo procedimento de apuração:</w:t>
      </w:r>
    </w:p>
    <w:p w14:paraId="01C8FA94" w14:textId="025FF64E"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6B1953FD" w14:textId="64F68AEB" w:rsidR="0D1069A5" w:rsidRDefault="45081017" w:rsidP="16D0F8A3">
      <w:pPr>
        <w:spacing w:after="0" w:line="240" w:lineRule="auto"/>
        <w:ind w:left="169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 d.3 Então, para se respeitar o princípio da irredutibilidade salarial, a rubrica em análise deve ser convertida em parcela compensatória passível de atualização pelos índices gerais de reajuste aplicáveis às remunerações dos servidores públicos, </w:t>
      </w:r>
      <w:r w:rsidRPr="16D0F8A3">
        <w:rPr>
          <w:rFonts w:ascii="Times New Roman" w:eastAsia="Times New Roman" w:hAnsi="Times New Roman"/>
          <w:b/>
          <w:bCs/>
          <w:color w:val="000000" w:themeColor="text1"/>
        </w:rPr>
        <w:t>a ser absorvida por ocasião</w:t>
      </w:r>
      <w:r w:rsidRPr="16D0F8A3">
        <w:rPr>
          <w:rFonts w:ascii="Times New Roman" w:eastAsia="Times New Roman" w:hAnsi="Times New Roman"/>
          <w:color w:val="000000" w:themeColor="text1"/>
        </w:rPr>
        <w:t xml:space="preserve">: do desenvolvimento no cargo ou na carreira por progressão ou promoção, ordinária ou extraordinária; da reorganização ou da reestruturação dos cargos e da carreira ou das remunerações; da concessão de reajuste ou vantagem de qualquer natureza. d.4 </w:t>
      </w:r>
      <w:r w:rsidRPr="16D0F8A3">
        <w:rPr>
          <w:rFonts w:ascii="Times New Roman" w:eastAsia="Times New Roman" w:hAnsi="Times New Roman"/>
          <w:b/>
          <w:bCs/>
          <w:color w:val="000000" w:themeColor="text1"/>
        </w:rPr>
        <w:t>A compensação deve retroagir aos últimos 5 anos, em observância à decadência administrativa. Eventuais aumentos salariais ocorridos nesse período devem promover a correspondente redução das referidas parcelas irregulares, até a sua completa extinção</w:t>
      </w:r>
      <w:r w:rsidRPr="16D0F8A3">
        <w:rPr>
          <w:rFonts w:ascii="Times New Roman" w:eastAsia="Times New Roman" w:hAnsi="Times New Roman"/>
          <w:color w:val="000000" w:themeColor="text1"/>
        </w:rPr>
        <w:t>. (grifou-se)</w:t>
      </w:r>
    </w:p>
    <w:p w14:paraId="2EF0CB2C" w14:textId="0D581E11"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4E7A054B" w14:textId="2E83D999" w:rsidR="0D1069A5" w:rsidRDefault="45081017"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Ora, ao criar esse novo entendimento da parcela compensatória, o TCU determinou que a compensação deve retroagir 5 (cinco) anos abarcando os reajustes anteriores, violando, além da isonomia com os demais servidores (já que para o seu quadro de pessoal a compensação é futura), o artigo 24 da Lei de Introdução às normas de Direito Brasileiro – LINDB, </w:t>
      </w:r>
      <w:r w:rsidRPr="16D0F8A3">
        <w:rPr>
          <w:rFonts w:ascii="Times New Roman" w:eastAsia="Times New Roman" w:hAnsi="Times New Roman"/>
          <w:b/>
          <w:bCs/>
          <w:color w:val="000000" w:themeColor="text1"/>
          <w:sz w:val="26"/>
          <w:szCs w:val="26"/>
        </w:rPr>
        <w:t xml:space="preserve">pois não é possível a aplicação </w:t>
      </w:r>
      <w:r w:rsidRPr="16D0F8A3">
        <w:rPr>
          <w:rFonts w:ascii="Times New Roman" w:eastAsia="Times New Roman" w:hAnsi="Times New Roman"/>
          <w:b/>
          <w:bCs/>
          <w:color w:val="000000" w:themeColor="text1"/>
          <w:sz w:val="26"/>
          <w:szCs w:val="26"/>
        </w:rPr>
        <w:lastRenderedPageBreak/>
        <w:t>de revisão controladora em que se considera ilegal situação plenamente constituída</w:t>
      </w:r>
      <w:r w:rsidRPr="16D0F8A3">
        <w:rPr>
          <w:rFonts w:ascii="Times New Roman" w:eastAsia="Times New Roman" w:hAnsi="Times New Roman"/>
          <w:color w:val="000000" w:themeColor="text1"/>
          <w:sz w:val="26"/>
          <w:szCs w:val="26"/>
        </w:rPr>
        <w:t>:</w:t>
      </w:r>
    </w:p>
    <w:p w14:paraId="46D1B04F" w14:textId="33EF0AFC"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01247379" w14:textId="5FE2DD50" w:rsidR="0D1069A5" w:rsidRDefault="45081017" w:rsidP="16D0F8A3">
      <w:pPr>
        <w:spacing w:after="0" w:line="240" w:lineRule="auto"/>
        <w:ind w:left="169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Art. 24.  </w:t>
      </w:r>
      <w:r w:rsidRPr="16D0F8A3">
        <w:rPr>
          <w:rFonts w:ascii="Times New Roman" w:eastAsia="Times New Roman" w:hAnsi="Times New Roman"/>
          <w:b/>
          <w:bCs/>
          <w:color w:val="000000" w:themeColor="text1"/>
        </w:rPr>
        <w:t xml:space="preserve">A revisão, nas esferas administrativa, controladora </w:t>
      </w:r>
      <w:r w:rsidRPr="16D0F8A3">
        <w:rPr>
          <w:rFonts w:ascii="Times New Roman" w:eastAsia="Times New Roman" w:hAnsi="Times New Roman"/>
          <w:color w:val="000000" w:themeColor="text1"/>
        </w:rPr>
        <w:t xml:space="preserve">ou judicial, quanto à validade de ato, contrato, ajuste, processo ou norma administrativa cuja produção já se houver completado levará em conta as orientações gerais da época, </w:t>
      </w:r>
      <w:r w:rsidRPr="16D0F8A3">
        <w:rPr>
          <w:rFonts w:ascii="Times New Roman" w:eastAsia="Times New Roman" w:hAnsi="Times New Roman"/>
          <w:b/>
          <w:bCs/>
          <w:color w:val="000000" w:themeColor="text1"/>
        </w:rPr>
        <w:t xml:space="preserve">sendo vedado que, com base em mudança posterior de orientação geral, se declarem inválidas situações plenamente constituídas. </w:t>
      </w:r>
      <w:r w:rsidRPr="16D0F8A3">
        <w:rPr>
          <w:rFonts w:ascii="Times New Roman" w:eastAsia="Times New Roman" w:hAnsi="Times New Roman"/>
          <w:color w:val="000000" w:themeColor="text1"/>
        </w:rPr>
        <w:t>(grifou-se)</w:t>
      </w:r>
    </w:p>
    <w:p w14:paraId="7D694BB4" w14:textId="2F9AB42B"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4040DDED" w14:textId="3788DBC6" w:rsidR="0D1069A5" w:rsidRDefault="45081017"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Também é violado o artigo 23 da referida norma, pois o corte abrupto aplica nova interpretação sem prever qualquer regime de transição ou proteger aqueles que já haviam preenchido os requisitos para percepção das parcelas:</w:t>
      </w:r>
    </w:p>
    <w:p w14:paraId="2EA29D16" w14:textId="33C1D974"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07CFDC64" w14:textId="0BB5FA76"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Art. 23.  A decisão administrativa, controladora ou judicial que estabelecer interpretação ou orientação nova sobre norma de conteúdo indeterminado, impondo novo dever ou novo condicionamento de direito, deverá prever regime de transição quando indispensável para que o novo dever ou condicionamento de direito seja cumprido de modo proporcional, equânime e eficiente e sem prejuízo aos interesses gerais.</w:t>
      </w:r>
    </w:p>
    <w:p w14:paraId="148D404B" w14:textId="715C0006"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3D9ECF79" w14:textId="0429BDC6" w:rsidR="0D1069A5" w:rsidRDefault="45081017" w:rsidP="16D0F8A3">
      <w:pPr>
        <w:spacing w:after="0" w:line="240" w:lineRule="auto"/>
        <w:ind w:right="15" w:firstLine="1695"/>
        <w:jc w:val="both"/>
        <w:rPr>
          <w:rFonts w:ascii="Times New Roman" w:eastAsia="Times New Roman" w:hAnsi="Times New Roman"/>
          <w:color w:val="000000" w:themeColor="text1"/>
          <w:sz w:val="26"/>
          <w:szCs w:val="26"/>
        </w:rPr>
      </w:pPr>
      <w:r w:rsidRPr="373D5F8C">
        <w:rPr>
          <w:rFonts w:ascii="Times New Roman" w:eastAsia="Times New Roman" w:hAnsi="Times New Roman"/>
          <w:color w:val="000000" w:themeColor="text1"/>
          <w:sz w:val="26"/>
          <w:szCs w:val="26"/>
        </w:rPr>
        <w:t>Dessa forma, não pode o Tribunal de Contas da União instituir uma nova maneira de proceder que retroage 5 anos e altera situações válidas plenamente constituídas em que os servidores possuíam a boa-fé no recebimento das rubricas alimentares, bem como dos reajustes e outras parcelas que erroneamente serão compensados retroativamente.</w:t>
      </w:r>
    </w:p>
    <w:p w14:paraId="23492A73" w14:textId="2892DEB1"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293BB3D6" w14:textId="41F6F038"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Como expressão fundamental do Estado Democrático de Direito, é necessário que se observe o princípio da segurança jurídica, envolvendo a proteção da boa-fé e a confiança dos administrados nos atos da Administração. Devido a isso é que deve ser mantido o direito ao pagamento das parcelas incorporadas e percebidas de boa-fé durante período superior a cinco anos, ou, ao menos, garantida a compensação por reajustes futuros, e não pretéritos.</w:t>
      </w:r>
    </w:p>
    <w:p w14:paraId="0DEDD90A" w14:textId="3DF71B4E"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116995B6" w14:textId="1A9AEE7E"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Além de princípio constitucional, a segurança jurídica constou do artigo 2º da Lei 9.784/99:</w:t>
      </w:r>
    </w:p>
    <w:p w14:paraId="773995B6" w14:textId="22C29197"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12FC19CB" w14:textId="2BC61D94" w:rsidR="0D1069A5" w:rsidRDefault="45081017" w:rsidP="16D0F8A3">
      <w:pPr>
        <w:spacing w:after="0" w:line="240" w:lineRule="auto"/>
        <w:ind w:left="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rPr>
        <w:t>Art. 2º. A Administração Pública obedecerá, dentre outros, aos princípios da legalidade, finalidade, motivação, razoabilidade, proporcionalidade, moralidade, ampla defesa, contraditório, </w:t>
      </w:r>
      <w:r w:rsidRPr="16D0F8A3">
        <w:rPr>
          <w:rFonts w:ascii="Times New Roman" w:eastAsia="Times New Roman" w:hAnsi="Times New Roman"/>
          <w:b/>
          <w:bCs/>
          <w:color w:val="000000" w:themeColor="text1"/>
        </w:rPr>
        <w:t>segurança jurídica</w:t>
      </w:r>
      <w:r w:rsidRPr="16D0F8A3">
        <w:rPr>
          <w:rFonts w:ascii="Times New Roman" w:eastAsia="Times New Roman" w:hAnsi="Times New Roman"/>
          <w:color w:val="000000" w:themeColor="text1"/>
        </w:rPr>
        <w:t>, interesse público e eficiência.</w:t>
      </w:r>
      <w:r w:rsidRPr="16D0F8A3">
        <w:rPr>
          <w:rFonts w:ascii="Times New Roman" w:eastAsia="Times New Roman" w:hAnsi="Times New Roman"/>
          <w:color w:val="000000" w:themeColor="text1"/>
          <w:sz w:val="26"/>
          <w:szCs w:val="26"/>
        </w:rPr>
        <w:t> </w:t>
      </w:r>
    </w:p>
    <w:p w14:paraId="6BEB25F2" w14:textId="0A1A7305"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49CC8E8B" w14:textId="57F66CEE"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3427A8">
        <w:rPr>
          <w:rFonts w:ascii="Times New Roman" w:eastAsia="Times New Roman" w:hAnsi="Times New Roman"/>
          <w:color w:val="000000" w:themeColor="text1"/>
          <w:sz w:val="26"/>
          <w:szCs w:val="26"/>
        </w:rPr>
        <w:lastRenderedPageBreak/>
        <w:t>Conforme Canotilho</w:t>
      </w:r>
      <w:r w:rsidR="0D1069A5" w:rsidRPr="163427A8">
        <w:rPr>
          <w:rStyle w:val="Refdenotaderodap"/>
          <w:rFonts w:ascii="Times New Roman" w:eastAsia="Times New Roman" w:hAnsi="Times New Roman"/>
          <w:color w:val="000000" w:themeColor="text1"/>
          <w:sz w:val="26"/>
          <w:szCs w:val="26"/>
        </w:rPr>
        <w:footnoteReference w:id="14"/>
      </w:r>
      <w:r w:rsidRPr="163427A8">
        <w:rPr>
          <w:rFonts w:ascii="Times New Roman" w:eastAsia="Times New Roman" w:hAnsi="Times New Roman"/>
          <w:color w:val="000000" w:themeColor="text1"/>
          <w:sz w:val="26"/>
          <w:szCs w:val="26"/>
        </w:rPr>
        <w:t>, os princípios da segurança jurídica e da proteção da confiança, como elementos constitutivos do Estado de Direito, são indispensáveis à estabilidade das relações sociais e à realização do próprio Direito. Para o jurista lusitano, a segurança jurídica e a proteção da confiança – que reunidos formam o princípio geral da segurança jurídica em sentido amplo – são postulados de observância obrigatória perante os atos do Poder Público. </w:t>
      </w:r>
    </w:p>
    <w:p w14:paraId="08F2822A" w14:textId="2FCC2995"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0AA4A02A" w14:textId="2FFF8608"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3427A8">
        <w:rPr>
          <w:rFonts w:ascii="Times New Roman" w:eastAsia="Times New Roman" w:hAnsi="Times New Roman"/>
          <w:color w:val="000000" w:themeColor="text1"/>
          <w:sz w:val="26"/>
          <w:szCs w:val="26"/>
        </w:rPr>
        <w:t>Isso porque tais atos devem conter “fiabilidade, racionalidade e transparência”, de forma que em relação a eles “o cidadão veja garantida a segurança nas suas disposições pessoais e nos efeitos jurídicos de seus próprios atos”</w:t>
      </w:r>
      <w:r w:rsidR="0D1069A5" w:rsidRPr="163427A8">
        <w:rPr>
          <w:rStyle w:val="Refdenotaderodap"/>
          <w:rFonts w:ascii="Times New Roman" w:eastAsia="Times New Roman" w:hAnsi="Times New Roman"/>
          <w:color w:val="000000" w:themeColor="text1"/>
          <w:sz w:val="26"/>
          <w:szCs w:val="26"/>
        </w:rPr>
        <w:footnoteReference w:id="15"/>
      </w:r>
      <w:r w:rsidRPr="163427A8">
        <w:rPr>
          <w:rFonts w:ascii="Times New Roman" w:eastAsia="Times New Roman" w:hAnsi="Times New Roman"/>
          <w:color w:val="000000" w:themeColor="text1"/>
          <w:sz w:val="26"/>
          <w:szCs w:val="26"/>
        </w:rPr>
        <w:t>.</w:t>
      </w:r>
    </w:p>
    <w:p w14:paraId="570DBE0D" w14:textId="6B911EDC"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7B385177" w14:textId="37D25575"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Reitera-se que a incorporação de quintos ocorreu há 20 (vinte) anos e a implementação da GAE ocorreu há mais de 12 (doze) anos e que, desde então, as parcelas são recebidas de forma cumulativa. Ou seja, há mais de cinco anos estes servidores percebem a GAE cumulada com a VPNI oriunda dos quintos incorporados. </w:t>
      </w:r>
    </w:p>
    <w:p w14:paraId="7CD37A44" w14:textId="34E77E7E"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7D9C409F" w14:textId="0EA19466"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Ademais, os atos administrativos são dotados da presunção de legalidade e legitimidade, diante do que a partir da percepção das vantagens, cria-se a fiel expectativa de que a parcela percebida de boa-fé está incorporada na sua totalidade ao patrimônio jurídico dos Oficiais de Justiça, conforme evidencia o normativo brasileiro.</w:t>
      </w:r>
    </w:p>
    <w:p w14:paraId="573D4A63" w14:textId="658F6E7A"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7DE8A7A0" w14:textId="79112801"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Entretanto, a Administração viola o princípio da segurança jurídica das relações ao pretender desconstituir situação que perdura há mais de cinco anos, suprimindo parcelas incorporadas à remuneração do servidor. Também macula o mencionado princípio caso se aplique a compensação utilizando-se de reajustes pretéritos, o que é vedado pela legislação.</w:t>
      </w:r>
    </w:p>
    <w:p w14:paraId="7530C4A0" w14:textId="4E67B692" w:rsidR="0D1069A5" w:rsidRDefault="45081017" w:rsidP="16D0F8A3">
      <w:pPr>
        <w:spacing w:after="0" w:line="240" w:lineRule="auto"/>
        <w:ind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2C074089" w14:textId="5E3DB34E"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3427A8">
        <w:rPr>
          <w:rFonts w:ascii="Times New Roman" w:eastAsia="Times New Roman" w:hAnsi="Times New Roman"/>
          <w:color w:val="000000" w:themeColor="text1"/>
          <w:sz w:val="26"/>
          <w:szCs w:val="26"/>
        </w:rPr>
        <w:t xml:space="preserve">Para além do que já foi considerado, essas parcelas alimentares que vêm sendo percebidas e consumidas de boa-fé não podem ser suprimidas também sob pena de se violar a proibição de aplicação retroativa de novo entendimento administrativo, uma vez que, mesmo sedimentado o reconhecimento administrativo </w:t>
      </w:r>
      <w:r w:rsidRPr="163427A8">
        <w:rPr>
          <w:rFonts w:ascii="Times New Roman" w:eastAsia="Times New Roman" w:hAnsi="Times New Roman"/>
          <w:color w:val="000000" w:themeColor="text1"/>
          <w:sz w:val="26"/>
          <w:szCs w:val="26"/>
        </w:rPr>
        <w:lastRenderedPageBreak/>
        <w:t xml:space="preserve">do direito, </w:t>
      </w:r>
      <w:r w:rsidRPr="163427A8">
        <w:rPr>
          <w:rFonts w:ascii="Times New Roman" w:eastAsia="Times New Roman" w:hAnsi="Times New Roman"/>
          <w:b/>
          <w:bCs/>
          <w:color w:val="000000" w:themeColor="text1"/>
          <w:sz w:val="26"/>
          <w:szCs w:val="26"/>
        </w:rPr>
        <w:t>a Administração pretende aplicar seu novo posicionamento para modificar situação consolidada</w:t>
      </w:r>
      <w:r w:rsidRPr="163427A8">
        <w:rPr>
          <w:rFonts w:ascii="Times New Roman" w:eastAsia="Times New Roman" w:hAnsi="Times New Roman"/>
          <w:color w:val="000000" w:themeColor="text1"/>
          <w:sz w:val="26"/>
          <w:szCs w:val="26"/>
        </w:rPr>
        <w:t>, consoante o comando do inciso XIII do parágrafo único do artigo 2º da Lei nº 9.784, de 1999</w:t>
      </w:r>
      <w:r w:rsidR="0D1069A5" w:rsidRPr="163427A8">
        <w:rPr>
          <w:rStyle w:val="Refdenotaderodap"/>
          <w:rFonts w:ascii="Times New Roman" w:eastAsia="Times New Roman" w:hAnsi="Times New Roman"/>
          <w:color w:val="000000" w:themeColor="text1"/>
          <w:sz w:val="26"/>
          <w:szCs w:val="26"/>
        </w:rPr>
        <w:footnoteReference w:id="16"/>
      </w:r>
      <w:r w:rsidRPr="163427A8">
        <w:rPr>
          <w:rFonts w:ascii="Times New Roman" w:eastAsia="Times New Roman" w:hAnsi="Times New Roman"/>
          <w:color w:val="000000" w:themeColor="text1"/>
          <w:sz w:val="26"/>
          <w:szCs w:val="26"/>
        </w:rPr>
        <w:t>, que reza:</w:t>
      </w:r>
    </w:p>
    <w:p w14:paraId="22CBF39E" w14:textId="0E8A2626"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0B7662F1" w14:textId="0A2C4424" w:rsidR="0D1069A5" w:rsidRDefault="45081017" w:rsidP="16D0F8A3">
      <w:pPr>
        <w:spacing w:after="0" w:line="240" w:lineRule="auto"/>
        <w:ind w:left="169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Art. 2º. (...) Parágrafo único. Nos processos administrativos serão observados, entre outros, os critérios de: (...) XIII- interpretação da norma administrativa da forma que melhor garanta o atendimento do fim público a que se dirige, </w:t>
      </w:r>
      <w:r w:rsidRPr="16D0F8A3">
        <w:rPr>
          <w:rFonts w:ascii="Times New Roman" w:eastAsia="Times New Roman" w:hAnsi="Times New Roman"/>
          <w:b/>
          <w:bCs/>
          <w:color w:val="000000" w:themeColor="text1"/>
        </w:rPr>
        <w:t>vedada a aplicação retroativa de nova interpretação</w:t>
      </w:r>
      <w:r w:rsidRPr="16D0F8A3">
        <w:rPr>
          <w:rFonts w:ascii="Times New Roman" w:eastAsia="Times New Roman" w:hAnsi="Times New Roman"/>
          <w:color w:val="000000" w:themeColor="text1"/>
        </w:rPr>
        <w:t>. (grifou-se) </w:t>
      </w:r>
    </w:p>
    <w:p w14:paraId="3488202F" w14:textId="2DB3F898"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w:t>
      </w:r>
    </w:p>
    <w:p w14:paraId="1A6479CA" w14:textId="57FCB097" w:rsidR="0D1069A5" w:rsidRDefault="45081017" w:rsidP="16D0F8A3">
      <w:pPr>
        <w:spacing w:after="0" w:line="240" w:lineRule="auto"/>
        <w:ind w:firstLine="1695"/>
        <w:jc w:val="both"/>
        <w:rPr>
          <w:rFonts w:ascii="Times New Roman" w:eastAsia="Times New Roman" w:hAnsi="Times New Roman"/>
          <w:color w:val="000000" w:themeColor="text1"/>
          <w:sz w:val="26"/>
          <w:szCs w:val="26"/>
          <w:vertAlign w:val="superscript"/>
        </w:rPr>
      </w:pPr>
      <w:r w:rsidRPr="163427A8">
        <w:rPr>
          <w:rFonts w:ascii="Times New Roman" w:eastAsia="Times New Roman" w:hAnsi="Times New Roman"/>
          <w:color w:val="000000" w:themeColor="text1"/>
          <w:sz w:val="26"/>
          <w:szCs w:val="26"/>
        </w:rPr>
        <w:t>Logo, a supressão de GAE ou da VPNI, concedidas com base na legislação regente e há mais de cinco anos, não se coaduna com a garantia da segurança jurídica, extraída do inciso XXXVI artigo 5º da Constituição e expressa no artigo 2º da Lei nº 9.784</w:t>
      </w:r>
      <w:r w:rsidR="0D1069A5" w:rsidRPr="163427A8">
        <w:rPr>
          <w:rStyle w:val="Refdenotaderodap"/>
          <w:rFonts w:ascii="Times New Roman" w:eastAsia="Times New Roman" w:hAnsi="Times New Roman"/>
          <w:color w:val="000000" w:themeColor="text1"/>
          <w:sz w:val="26"/>
          <w:szCs w:val="26"/>
        </w:rPr>
        <w:footnoteReference w:id="17"/>
      </w:r>
      <w:r w:rsidR="71B3B428" w:rsidRPr="163427A8">
        <w:rPr>
          <w:rFonts w:ascii="Times New Roman" w:eastAsia="Times New Roman" w:hAnsi="Times New Roman"/>
          <w:color w:val="000000" w:themeColor="text1"/>
          <w:sz w:val="26"/>
          <w:szCs w:val="26"/>
        </w:rPr>
        <w:t>.</w:t>
      </w:r>
    </w:p>
    <w:p w14:paraId="29714859" w14:textId="1BBEC6D5"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17211D45" w14:textId="1EC8E377" w:rsidR="0D1069A5" w:rsidRDefault="45081017" w:rsidP="16D0F8A3">
      <w:pPr>
        <w:spacing w:after="0" w:line="240" w:lineRule="auto"/>
        <w:ind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Ademais, apesar de se defender a legalidade da cumulação da GAE com a VPNI, mesmo se esse não for o entendimento, à Administração não cabe suprimir nenhuma das parcelas mediante a absorção considerando reajustes pretéritos.</w:t>
      </w:r>
    </w:p>
    <w:p w14:paraId="4E7C3EB6" w14:textId="59B0D5EC"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3127EFA8" w14:textId="771CA267" w:rsidR="0D1069A5" w:rsidRDefault="52776639" w:rsidP="16D0F8A3">
      <w:pPr>
        <w:spacing w:after="0" w:line="240" w:lineRule="auto"/>
        <w:ind w:left="284" w:hanging="284"/>
        <w:jc w:val="both"/>
        <w:rPr>
          <w:rFonts w:ascii="Times New Roman" w:eastAsia="Times New Roman" w:hAnsi="Times New Roman"/>
          <w:color w:val="000000" w:themeColor="text1"/>
          <w:sz w:val="26"/>
          <w:szCs w:val="26"/>
        </w:rPr>
      </w:pPr>
      <w:r w:rsidRPr="16D0F8A3">
        <w:rPr>
          <w:rFonts w:ascii="Times New Roman" w:eastAsia="Times New Roman" w:hAnsi="Times New Roman"/>
          <w:b/>
          <w:bCs/>
          <w:color w:val="000000" w:themeColor="text1"/>
          <w:sz w:val="26"/>
          <w:szCs w:val="26"/>
        </w:rPr>
        <w:t>3</w:t>
      </w:r>
      <w:r w:rsidR="45081017" w:rsidRPr="16D0F8A3">
        <w:rPr>
          <w:rFonts w:ascii="Times New Roman" w:eastAsia="Times New Roman" w:hAnsi="Times New Roman"/>
          <w:b/>
          <w:bCs/>
          <w:color w:val="000000" w:themeColor="text1"/>
          <w:sz w:val="26"/>
          <w:szCs w:val="26"/>
        </w:rPr>
        <w:t xml:space="preserve">. </w:t>
      </w:r>
      <w:r w:rsidR="45081017" w:rsidRPr="16D0F8A3">
        <w:rPr>
          <w:rFonts w:ascii="Times New Roman" w:eastAsia="Times New Roman" w:hAnsi="Times New Roman"/>
          <w:b/>
          <w:bCs/>
          <w:color w:val="000000" w:themeColor="text1"/>
          <w:sz w:val="26"/>
          <w:szCs w:val="26"/>
          <w:u w:val="single"/>
        </w:rPr>
        <w:t>PRECEDENTES ESPECÍFICOS</w:t>
      </w:r>
    </w:p>
    <w:p w14:paraId="1AB87A85" w14:textId="7A99E906" w:rsidR="0D1069A5" w:rsidRDefault="0D1069A5" w:rsidP="16D0F8A3">
      <w:pPr>
        <w:spacing w:after="0" w:line="240" w:lineRule="auto"/>
        <w:ind w:left="284" w:hanging="284"/>
        <w:jc w:val="both"/>
        <w:rPr>
          <w:rFonts w:ascii="Times New Roman" w:eastAsia="Times New Roman" w:hAnsi="Times New Roman"/>
          <w:color w:val="000000" w:themeColor="text1"/>
          <w:sz w:val="26"/>
          <w:szCs w:val="26"/>
        </w:rPr>
      </w:pPr>
    </w:p>
    <w:p w14:paraId="5738C1BE" w14:textId="4E3CD198" w:rsidR="0D1069A5" w:rsidRDefault="4EFA35C1" w:rsidP="16D0F8A3">
      <w:pPr>
        <w:spacing w:after="0" w:line="240" w:lineRule="auto"/>
        <w:jc w:val="both"/>
        <w:rPr>
          <w:rFonts w:ascii="Times New Roman" w:eastAsia="Times New Roman" w:hAnsi="Times New Roman"/>
          <w:color w:val="000000" w:themeColor="text1"/>
          <w:sz w:val="26"/>
          <w:szCs w:val="26"/>
        </w:rPr>
      </w:pPr>
      <w:r w:rsidRPr="16D0F8A3">
        <w:rPr>
          <w:rFonts w:ascii="Times New Roman" w:eastAsia="Times New Roman" w:hAnsi="Times New Roman"/>
          <w:b/>
          <w:bCs/>
          <w:color w:val="000000" w:themeColor="text1"/>
          <w:sz w:val="26"/>
          <w:szCs w:val="26"/>
        </w:rPr>
        <w:t>3</w:t>
      </w:r>
      <w:r w:rsidR="45081017" w:rsidRPr="16D0F8A3">
        <w:rPr>
          <w:rFonts w:ascii="Times New Roman" w:eastAsia="Times New Roman" w:hAnsi="Times New Roman"/>
          <w:b/>
          <w:bCs/>
          <w:color w:val="000000" w:themeColor="text1"/>
          <w:sz w:val="26"/>
          <w:szCs w:val="26"/>
        </w:rPr>
        <w:t xml:space="preserve">.1. </w:t>
      </w:r>
      <w:r w:rsidR="45081017" w:rsidRPr="16D0F8A3">
        <w:rPr>
          <w:rFonts w:ascii="Times New Roman" w:eastAsia="Times New Roman" w:hAnsi="Times New Roman"/>
          <w:b/>
          <w:bCs/>
          <w:color w:val="000000" w:themeColor="text1"/>
          <w:sz w:val="26"/>
          <w:szCs w:val="26"/>
          <w:u w:val="single"/>
        </w:rPr>
        <w:t>STF: recentes acórdãos – MS 36869 - MS 36744 - MS 31244 - com determinação de compensação para futuro, sem retroatividade</w:t>
      </w:r>
    </w:p>
    <w:p w14:paraId="545A6552" w14:textId="436E6C33"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49C9024C" w14:textId="7908851F" w:rsidR="0D1069A5" w:rsidRDefault="05B1A161" w:rsidP="373D5F8C">
      <w:pPr>
        <w:spacing w:after="0" w:line="240" w:lineRule="auto"/>
        <w:ind w:right="15" w:firstLine="1695"/>
        <w:jc w:val="both"/>
        <w:rPr>
          <w:rFonts w:ascii="Times New Roman" w:eastAsia="Times New Roman" w:hAnsi="Times New Roman"/>
          <w:color w:val="000000" w:themeColor="text1"/>
          <w:sz w:val="26"/>
          <w:szCs w:val="26"/>
        </w:rPr>
      </w:pPr>
      <w:r w:rsidRPr="373D5F8C">
        <w:rPr>
          <w:rFonts w:ascii="Times New Roman" w:eastAsia="Times New Roman" w:hAnsi="Times New Roman"/>
          <w:color w:val="000000" w:themeColor="text1"/>
          <w:sz w:val="26"/>
          <w:szCs w:val="26"/>
        </w:rPr>
        <w:t>D</w:t>
      </w:r>
      <w:r w:rsidR="45081017" w:rsidRPr="373D5F8C">
        <w:rPr>
          <w:rFonts w:ascii="Times New Roman" w:eastAsia="Times New Roman" w:hAnsi="Times New Roman"/>
          <w:color w:val="000000" w:themeColor="text1"/>
          <w:sz w:val="26"/>
          <w:szCs w:val="26"/>
        </w:rPr>
        <w:t xml:space="preserve">ecisões recentes do </w:t>
      </w:r>
      <w:r w:rsidR="45081017" w:rsidRPr="373D5F8C">
        <w:rPr>
          <w:rFonts w:ascii="Times New Roman" w:eastAsia="Times New Roman" w:hAnsi="Times New Roman"/>
          <w:b/>
          <w:bCs/>
          <w:color w:val="000000" w:themeColor="text1"/>
          <w:sz w:val="26"/>
          <w:szCs w:val="26"/>
          <w:u w:val="single"/>
        </w:rPr>
        <w:t>STF</w:t>
      </w:r>
      <w:r w:rsidR="45081017" w:rsidRPr="373D5F8C">
        <w:rPr>
          <w:rFonts w:ascii="Times New Roman" w:eastAsia="Times New Roman" w:hAnsi="Times New Roman"/>
          <w:color w:val="000000" w:themeColor="text1"/>
          <w:sz w:val="26"/>
          <w:szCs w:val="26"/>
        </w:rPr>
        <w:t xml:space="preserve"> evoluíram na interpretação de situações análogas, determinando a manutenção da VPNI na folha de pagamento, como </w:t>
      </w:r>
      <w:r w:rsidR="45081017" w:rsidRPr="373D5F8C">
        <w:rPr>
          <w:rFonts w:ascii="Times New Roman" w:eastAsia="Times New Roman" w:hAnsi="Times New Roman"/>
          <w:b/>
          <w:bCs/>
          <w:color w:val="000000" w:themeColor="text1"/>
          <w:sz w:val="26"/>
          <w:szCs w:val="26"/>
        </w:rPr>
        <w:t>parcela compensatória, a ser absorvida por reajustes futuros</w:t>
      </w:r>
      <w:r w:rsidR="45081017" w:rsidRPr="373D5F8C">
        <w:rPr>
          <w:rFonts w:ascii="Times New Roman" w:eastAsia="Times New Roman" w:hAnsi="Times New Roman"/>
          <w:color w:val="000000" w:themeColor="text1"/>
          <w:sz w:val="26"/>
          <w:szCs w:val="26"/>
        </w:rPr>
        <w:t xml:space="preserve">. Nesse sentido, foram os julgamentos do </w:t>
      </w:r>
      <w:r w:rsidR="45081017" w:rsidRPr="373D5F8C">
        <w:rPr>
          <w:rFonts w:ascii="Times New Roman" w:eastAsia="Times New Roman" w:hAnsi="Times New Roman"/>
          <w:b/>
          <w:bCs/>
          <w:color w:val="000000" w:themeColor="text1"/>
          <w:sz w:val="26"/>
          <w:szCs w:val="26"/>
          <w:u w:val="single"/>
        </w:rPr>
        <w:t>MS 36744</w:t>
      </w:r>
      <w:r w:rsidR="45081017" w:rsidRPr="373D5F8C">
        <w:rPr>
          <w:rFonts w:ascii="Times New Roman" w:eastAsia="Times New Roman" w:hAnsi="Times New Roman"/>
          <w:color w:val="000000" w:themeColor="text1"/>
          <w:sz w:val="26"/>
          <w:szCs w:val="26"/>
        </w:rPr>
        <w:t xml:space="preserve"> e do </w:t>
      </w:r>
      <w:r w:rsidR="45081017" w:rsidRPr="373D5F8C">
        <w:rPr>
          <w:rFonts w:ascii="Times New Roman" w:eastAsia="Times New Roman" w:hAnsi="Times New Roman"/>
          <w:b/>
          <w:bCs/>
          <w:color w:val="000000" w:themeColor="text1"/>
          <w:sz w:val="26"/>
          <w:szCs w:val="26"/>
          <w:u w:val="single"/>
        </w:rPr>
        <w:t>MS 31244</w:t>
      </w:r>
      <w:r w:rsidR="45081017" w:rsidRPr="373D5F8C">
        <w:rPr>
          <w:rFonts w:ascii="Times New Roman" w:eastAsia="Times New Roman" w:hAnsi="Times New Roman"/>
          <w:b/>
          <w:bCs/>
          <w:color w:val="000000" w:themeColor="text1"/>
          <w:sz w:val="26"/>
          <w:szCs w:val="26"/>
        </w:rPr>
        <w:t xml:space="preserve">, </w:t>
      </w:r>
      <w:r w:rsidR="45081017" w:rsidRPr="373D5F8C">
        <w:rPr>
          <w:rFonts w:ascii="Times New Roman" w:eastAsia="Times New Roman" w:hAnsi="Times New Roman"/>
          <w:color w:val="000000" w:themeColor="text1"/>
          <w:sz w:val="26"/>
          <w:szCs w:val="26"/>
        </w:rPr>
        <w:t>vejamos as ementas:</w:t>
      </w:r>
    </w:p>
    <w:p w14:paraId="37B48CEE" w14:textId="26860E73"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7431FA08" w14:textId="32CE0994"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AGRAVO REGIMENTAL EM MANDADO DE SEGURANÇA. ADMINISTRATIVO. SERVIDOR PÚBLICO. ATO DO TRIBUNAL DE CONTAS DA UNIÃO. INCORPORAÇÃO DE QUINTOS PELO EXERCÍCIO DE FUNÇÃO COMISSIONADA ENTRE A EDIÇÃO DA LEI 9.624/1998 E A MEDIDA PROVISÓRIA 2.225-48/2001. ILEGALIDADE. POSSIBILIDADE DE APLICAÇÃO IMEDIATA DOS ENTENDIMENTOS FIRMADOS PELO PLENÁRIO DO SUPREMO TRIBUNAL FEDERAL EM REPERCUSSÃO GERAL, INDEPENDENTEMENTE DO TRÂNSITO EM JULGADO DO PARADIGMA. RE 638115. MODULAÇÃO DE EFEITOS SUPERVENIENTE. NECESSIDADE DE PARCIAL REPARAÇÃO DA DECISÃO AGRAVADA. </w:t>
      </w:r>
      <w:r w:rsidRPr="16D0F8A3">
        <w:rPr>
          <w:rFonts w:ascii="Times New Roman" w:eastAsia="Times New Roman" w:hAnsi="Times New Roman"/>
          <w:color w:val="000000" w:themeColor="text1"/>
        </w:rPr>
        <w:lastRenderedPageBreak/>
        <w:t>NOVO ENTENDIMENTO JURISPRUDENCIAL. DEFERÊNCIA. CAPACIDADES INSTITUCIONAIS. ATRIBUIÇÕES TÉCNICAS CONSTITUCIONALMENTE ATRIBUÍDAS À CORTE DE CONTAS. ART. 71 DA CONSTITUIÇÃO DA REPÚBLICA.AGRAVO REGIMENTAL A QUE SE DÁ PARCIAL PROVIMENTO. [...] 4. Ocorre que, supervenientemente, houve a modulação dos efeitos da decisão anteriormente proferida no Recurso Extraordinário n. 638.115, em sede de repercussão geral (RE 638.115-ED-ED, Min. Rel. Gilmar Mendes, Tribunal Pleno, DJe em 31/1/2020). 5. Consectariamente, o Pleno deste Supremo Tribunal Federal proferiu três importantes entendimentos. Em primeiro lugar, “por maioria, acolheu parcialmente os embargos de declaração, com efeitos infringentes, para reconhecer indevida a cessação imediata do pagamento dos quintos quando fundado em decisão judicial transitada em julgado”. Em segundo lugar, quanto “ao recebimento dos quintos em virtude de decisões administrativas, o Tribunal, em razão de voto médio, rejeitou os embargos e, reconhecendo a ilegitimidade do pagamento dos quintos, modulou os efeitos da decisão de modo que aqueles que continuam recebendo até a presente data em razão de decisão administrativa tenham o pagamento mantido até sua absorção integral por quaisquer reajustes futuros concedidos aos servidores.” Por fim, em terceiro lugar, “o Tribunal, por maioria, 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concedidos aos servidores”. 6. Deveras, a prudência democrática e o entendimento desta Corte apontam para a presunção da melhor capacidade institucional e habilitação técnica do Tribunal de Contas da União para analisar as particularidades do caso concreto da agravante, podendo o órgão deliberar com maior vagar sobre eventuais outras questões fático-probatórias. 7. De fato, o enfrentamento de questões afetas à Corte de Contas firmam-se em critério técnico por parte do órgão de controle e deve produzir presunção de razoabilidade quanto aos meios adotados. É que além de suas decisões serem amparadas em juízo de expertise sobre o tema, o Tribunal de Contas é o órgão constitucionalmente habilitado para apreciar, sob fins de registro, a legalidade dos atos de concessão de aposentadoria, reforma e pensão (art. 71, III, da Constituição Federal). 8. Nesse sentido, há maior razoabilidade em delegar ao próprio órgão que reavalie a decisão, porém em estrita observância às novas balizas desta Suprema Corte. 9. Agravo regimental a que se dá PARCIAL PROVIMENTO, apenas para que o Tribunal de Contas da União, nos autos do processo de Tomada de Contas 034.306/2011-0, analise novamente o pleito da agravante observando a nova orientação proferida pelo Plenário deste Supremo Tribunal Federal (RE 638.115-ED-ED, Min. Rel. Gilmar Mendes, Tribunal Pleno, DJe em 31/1/2020).</w:t>
      </w:r>
    </w:p>
    <w:p w14:paraId="313DF3A5" w14:textId="324F5346" w:rsidR="0D1069A5" w:rsidRDefault="45081017" w:rsidP="16D0F8A3">
      <w:pPr>
        <w:spacing w:after="0" w:line="240" w:lineRule="auto"/>
        <w:ind w:left="1701"/>
        <w:jc w:val="both"/>
        <w:rPr>
          <w:rFonts w:ascii="Times New Roman" w:eastAsia="Times New Roman" w:hAnsi="Times New Roman"/>
          <w:b/>
          <w:bCs/>
          <w:color w:val="000000" w:themeColor="text1"/>
          <w:vertAlign w:val="superscript"/>
        </w:rPr>
      </w:pPr>
      <w:r w:rsidRPr="163427A8">
        <w:rPr>
          <w:rFonts w:ascii="Times New Roman" w:eastAsia="Times New Roman" w:hAnsi="Times New Roman"/>
          <w:b/>
          <w:bCs/>
          <w:color w:val="000000" w:themeColor="text1"/>
        </w:rPr>
        <w:t>(MS 36744 AgR, Relator(a): LUIZ FUX, Primeira Turma, julgado em 22/05/2020, PROCESSO ELETRÔNICO DJe-151 DIVULG 17-06-2020 PUBLIC 18-06-2020)</w:t>
      </w:r>
      <w:r w:rsidR="0D1069A5" w:rsidRPr="163427A8">
        <w:rPr>
          <w:rStyle w:val="Refdenotaderodap"/>
          <w:rFonts w:ascii="Times New Roman" w:eastAsia="Times New Roman" w:hAnsi="Times New Roman"/>
          <w:b/>
          <w:bCs/>
          <w:color w:val="000000" w:themeColor="text1"/>
        </w:rPr>
        <w:footnoteReference w:id="18"/>
      </w:r>
    </w:p>
    <w:p w14:paraId="619304F3" w14:textId="5A0BCBED" w:rsidR="0D1069A5" w:rsidRDefault="0D1069A5" w:rsidP="16D0F8A3">
      <w:pPr>
        <w:spacing w:after="0" w:line="240" w:lineRule="auto"/>
        <w:ind w:firstLine="1701"/>
        <w:jc w:val="both"/>
        <w:rPr>
          <w:rFonts w:ascii="Times New Roman" w:eastAsia="Times New Roman" w:hAnsi="Times New Roman"/>
          <w:color w:val="000000" w:themeColor="text1"/>
        </w:rPr>
      </w:pPr>
    </w:p>
    <w:p w14:paraId="71E80D7B" w14:textId="2D78C00B"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Ementa: AGRAVO REGIMENTAL EM MANDADO DE SEGURANÇA. ATO DO TRIBUNAL DE CONTAS DA UNIÃO. ATIVIDADE FISCALIZADORA. </w:t>
      </w:r>
      <w:r w:rsidRPr="16D0F8A3">
        <w:rPr>
          <w:rFonts w:ascii="Times New Roman" w:eastAsia="Times New Roman" w:hAnsi="Times New Roman"/>
          <w:color w:val="000000" w:themeColor="text1"/>
        </w:rPr>
        <w:lastRenderedPageBreak/>
        <w:t xml:space="preserve">INSPEÇÃO. [...] CUMULAÇÃO DE VALOR INTEGRAL DE FUNÇÃO COMISSIONADA OU CARGO EM COMISSÃO COM REMUNERAÇÃO DE CARGO EFETIVO. VANTAGEM CONCEDIDA PELA ADMINISTRAÇÃO PÚBLICA. PERCENTUAL DE 10,87% (IPCr). DECORRÊNCIA DO CUMPRIMENTO DE DECISÕES JUDICIAIS. SEGURANÇA CONCEDIDA PARCIALMENTE. RE 638115. MODULAÇÃO DE EFEITOS SUPERVENIENTE. NECESSIDADE DE PARCIAL REPARAÇÃO DA DECISÃO AGRAVADA. NOVO ENTENDIMENTO JURISPRUDENCIAL. DEFERÊNCIA. CAPACIDADES INSTITUCIONAIS. ATRIBUIÇÕES TÉCNICAS CONSTITUCIONALMENTE ATRIBUÍDAS À CORTE DE CONTAS. ART. 71 DA CONSTITUIÇÃO DA REPÚBLICA. AGRAVO REGIMENTAL PARCIALMENTE PROVIDO[...] 5. O Plenário deste Supremo Tribunal Federal, no julgamento do Recurso Extraordinário n. 638.115 (Rel. Min. Gilmar Mendes, DJe de 3/8/2015), decidiu, em sede repercussão geral, pela inconstitucionalidade da incorporação de quintos decorrentes do exercício de funções comissionadas no período compreendido entre a edição da Lei 9.624/1998 e a edição da Medida Provisória 2.225-48/2001. Ocorre que, supervenientemente, houve a modulação dos efeitos da decisão anteriormente proferida no Recurso Extraordinário n. 638.115, em sede de repercussão geral (RE 638.115-ED-ED, Min. Rel. Gilmar Mendes, Tribunal Pleno, DJe em 31/1/2020). 6. Consectariamente, o Pleno deste Supremo Tribunal Federal proferiu três importantes entendimentos. Em primeiro lugar, por maioria, acolheu parcialmente os embargos de declaração, com efeitos infringentes, para reconhecer indevida a cessação imediata do pagamento dos quintos quando fundado em decisão judicial transitada em julgado. Em segundo lugar, quanto ao recebimento dos quintos em virtude de decisões administrativas, o Tribunal, em razão de voto médio, rejeitou os embargos e, reconhecendo a ilegitimidade do pagamento dos quintos, modulou os efeitos da decisão de modo que aqueles que continuam recebendo até a presente data em razão de decisão administrativa tenham o pagamento mantido até sua absorção integral por quaisquer reajustes futuros concedidos aos servidores. Por fim, em terceiro lugar, o Tribunal, por maioria, 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concedidos aos servidores. 7. Deveras, a prudência democrática e o entendimento desta Corte apontam para a presunção da melhor capacidade institucional e habilitação técnica do Tribunal de Contas da União para analisar as particularidades do caso concreto da agravante, podendo o órgão deliberar com maior vagar e expertise sobre eventuais outras questões fático-probatórias. É que além de suas decisões serem amparadas em juízo de expertise sobre o tema, o Tribunal de Contas é o órgão constitucionalmente habilitado para assinar prazo para que o órgão ou entidade adote as providências necessárias ao exato cumprimento da lei, se verificada ilegalidade (art. 71, IX, da Constituição Federal). 8. Nesse sentido, há maior razoabilidade em delegar ao próprio órgão que reavalie a decisão, porém em estrita observância às novas balizas desta Suprema Corte. 9. Agravo regimental a que se dá PARCIAL PROVIMENTO unicamente para que o Tribunal de Contas da União, nos autos do processo de Tomada de Contas (TC) 026.294/2016-8, analise novamente o pleito do agravante: (i) no que diz respeito </w:t>
      </w:r>
      <w:r w:rsidRPr="16D0F8A3">
        <w:rPr>
          <w:rFonts w:ascii="Times New Roman" w:eastAsia="Times New Roman" w:hAnsi="Times New Roman"/>
          <w:color w:val="000000" w:themeColor="text1"/>
        </w:rPr>
        <w:lastRenderedPageBreak/>
        <w:t>aos quintos e décimos/VPNI, observando a nova orientação proferida pelo Plenário deste Supremo Tribunal Federal, no bojo do RE n. 638.115 (RE 638.115-ED-ED, Min. Rel. Gilmar Mendes, Tribunal Pleno, DJe em 31/1/2020); (ii) no que concerne às parcelas do IPCr, mantida sua correta determinação de ilegalidade pelo TCU, porém sem determinar a devolução das quantias recebidas a maior pelos substituídos do sindicato impetrante, pois revestidas de boa-fé e fruto de erro da própria Administração do TJDFT.</w:t>
      </w:r>
    </w:p>
    <w:p w14:paraId="34A7246F" w14:textId="5FDBE694"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w:t>
      </w:r>
      <w:r w:rsidRPr="16D0F8A3">
        <w:rPr>
          <w:rFonts w:ascii="Times New Roman" w:eastAsia="Times New Roman" w:hAnsi="Times New Roman"/>
          <w:b/>
          <w:bCs/>
          <w:color w:val="000000" w:themeColor="text1"/>
        </w:rPr>
        <w:t>MS 31244 AgR, Relator(a): LUIZ FUX, Primeira Turma, julgado em 22/05/2020, PROCESSO ELETRÔNICO DJe-151 DIVULG 17-06-2020 PUBLIC 18-06-2020</w:t>
      </w:r>
      <w:r w:rsidRPr="16D0F8A3">
        <w:rPr>
          <w:rFonts w:ascii="Times New Roman" w:eastAsia="Times New Roman" w:hAnsi="Times New Roman"/>
          <w:color w:val="000000" w:themeColor="text1"/>
        </w:rPr>
        <w:t>)</w:t>
      </w:r>
    </w:p>
    <w:p w14:paraId="12B9CC74" w14:textId="762D57C7"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6DA5C3A9" w14:textId="1E705744" w:rsidR="0D1069A5" w:rsidRDefault="45081017" w:rsidP="16D0F8A3">
      <w:pPr>
        <w:spacing w:after="0" w:line="240" w:lineRule="auto"/>
        <w:ind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Com tais decisões, confirma-se o desacerto do que pretende a Administração neste caso de VPNI + GAE, pois, mesmo que se reconheça essa possibilidade, em nome do princípio da eventualidade processual, a solução é a transformação em parcela compensatória a ser absorvida por reajustes </w:t>
      </w:r>
      <w:r w:rsidRPr="16D0F8A3">
        <w:rPr>
          <w:rFonts w:ascii="Times New Roman" w:eastAsia="Times New Roman" w:hAnsi="Times New Roman"/>
          <w:b/>
          <w:bCs/>
          <w:color w:val="000000" w:themeColor="text1"/>
          <w:sz w:val="26"/>
          <w:szCs w:val="26"/>
        </w:rPr>
        <w:t>futuros</w:t>
      </w:r>
      <w:r w:rsidRPr="16D0F8A3">
        <w:rPr>
          <w:rFonts w:ascii="Times New Roman" w:eastAsia="Times New Roman" w:hAnsi="Times New Roman"/>
          <w:color w:val="000000" w:themeColor="text1"/>
          <w:sz w:val="26"/>
          <w:szCs w:val="26"/>
        </w:rPr>
        <w:t>, a partir da decisão definitiva que envolva, mediante notificação individual, o servidor prejudicado. Logo, não há de se cogitar o corte ou a retroatividade compensatória.</w:t>
      </w:r>
    </w:p>
    <w:p w14:paraId="72A387CF" w14:textId="32C8B314"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0E47F160" w14:textId="4E233468" w:rsidR="0D1069A5" w:rsidRDefault="0049716F" w:rsidP="16D0F8A3">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b/>
          <w:bCs/>
          <w:color w:val="000000" w:themeColor="text1"/>
          <w:sz w:val="26"/>
          <w:szCs w:val="26"/>
        </w:rPr>
        <w:t>3</w:t>
      </w:r>
      <w:r w:rsidR="45081017" w:rsidRPr="16D0F8A3">
        <w:rPr>
          <w:rFonts w:ascii="Times New Roman" w:eastAsia="Times New Roman" w:hAnsi="Times New Roman"/>
          <w:b/>
          <w:bCs/>
          <w:color w:val="000000" w:themeColor="text1"/>
          <w:sz w:val="26"/>
          <w:szCs w:val="26"/>
        </w:rPr>
        <w:t xml:space="preserve">.2. </w:t>
      </w:r>
      <w:r w:rsidR="45081017" w:rsidRPr="16D0F8A3">
        <w:rPr>
          <w:rFonts w:ascii="Times New Roman" w:eastAsia="Times New Roman" w:hAnsi="Times New Roman"/>
          <w:b/>
          <w:bCs/>
          <w:color w:val="000000" w:themeColor="text1"/>
          <w:sz w:val="26"/>
          <w:szCs w:val="26"/>
          <w:u w:val="single"/>
        </w:rPr>
        <w:t>Outros precedentes judiciais pela decadência, legalidade ou compensação futura da VPNI dos Oficiais de Justiça Avaliadores Federais</w:t>
      </w:r>
    </w:p>
    <w:p w14:paraId="17FBF24F" w14:textId="6E362759" w:rsidR="0D1069A5" w:rsidRDefault="0D1069A5" w:rsidP="16D0F8A3">
      <w:pPr>
        <w:spacing w:after="0" w:line="240" w:lineRule="auto"/>
        <w:jc w:val="both"/>
        <w:rPr>
          <w:rFonts w:ascii="Times New Roman" w:eastAsia="Times New Roman" w:hAnsi="Times New Roman"/>
          <w:color w:val="000000" w:themeColor="text1"/>
          <w:sz w:val="26"/>
          <w:szCs w:val="26"/>
        </w:rPr>
      </w:pPr>
    </w:p>
    <w:p w14:paraId="3F5B30F6" w14:textId="0E6DBCDF" w:rsidR="0D1069A5" w:rsidRDefault="45081017" w:rsidP="16D0F8A3">
      <w:pPr>
        <w:spacing w:after="0" w:line="240" w:lineRule="auto"/>
        <w:ind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O equivocado entendimento da Corte de Contas no Acórdão 2.784/2016 apontou a impossibilidade de manter o ato de aposentadoria de alguns Oficiais de Justiça Avaliadores Federais vinculados ao Tribunal Regional Federal da 2ª Região, com a percepção conjunta da GAE e da VPNI decorrente de quintos, quando estes têm origem</w:t>
      </w:r>
      <w:r w:rsidRPr="16D0F8A3">
        <w:rPr>
          <w:rFonts w:cs="Calibri"/>
          <w:color w:val="000000" w:themeColor="text1"/>
        </w:rPr>
        <w:t xml:space="preserve"> </w:t>
      </w:r>
      <w:r w:rsidRPr="16D0F8A3">
        <w:rPr>
          <w:rFonts w:ascii="Times New Roman" w:eastAsia="Times New Roman" w:hAnsi="Times New Roman"/>
          <w:color w:val="000000" w:themeColor="text1"/>
          <w:sz w:val="26"/>
          <w:szCs w:val="26"/>
        </w:rPr>
        <w:t>na Função Comissionada de nível 5 ou Gratificação de Representação de Gabinete (GRG).</w:t>
      </w:r>
    </w:p>
    <w:p w14:paraId="265349A0" w14:textId="35781404"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31183D4D" w14:textId="46660D4E" w:rsidR="0D1069A5" w:rsidRDefault="45081017"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Em mandado de segurança coletivo impetrado pelo Sindjufe-MS, o </w:t>
      </w:r>
      <w:r w:rsidRPr="16D0F8A3">
        <w:rPr>
          <w:rFonts w:ascii="Times New Roman" w:eastAsia="Times New Roman" w:hAnsi="Times New Roman"/>
          <w:b/>
          <w:bCs/>
          <w:color w:val="000000" w:themeColor="text1"/>
          <w:sz w:val="26"/>
          <w:szCs w:val="26"/>
        </w:rPr>
        <w:t>TRT da 24ª Região</w:t>
      </w:r>
      <w:r w:rsidRPr="16D0F8A3">
        <w:rPr>
          <w:rFonts w:ascii="Times New Roman" w:eastAsia="Times New Roman" w:hAnsi="Times New Roman"/>
          <w:color w:val="000000" w:themeColor="text1"/>
          <w:sz w:val="26"/>
          <w:szCs w:val="26"/>
        </w:rPr>
        <w:t xml:space="preserve"> concedeu a segurança no julgamento do MS n° </w:t>
      </w:r>
      <w:r w:rsidRPr="16D0F8A3">
        <w:rPr>
          <w:rFonts w:ascii="Times New Roman" w:eastAsia="Times New Roman" w:hAnsi="Times New Roman"/>
          <w:b/>
          <w:bCs/>
          <w:color w:val="000000" w:themeColor="text1"/>
          <w:sz w:val="26"/>
          <w:szCs w:val="26"/>
        </w:rPr>
        <w:t>0024015-44.2020.5.24.0000</w:t>
      </w:r>
      <w:r w:rsidRPr="16D0F8A3">
        <w:rPr>
          <w:rFonts w:ascii="Times New Roman" w:eastAsia="Times New Roman" w:hAnsi="Times New Roman"/>
          <w:color w:val="000000" w:themeColor="text1"/>
          <w:sz w:val="26"/>
          <w:szCs w:val="26"/>
        </w:rPr>
        <w:t xml:space="preserve">, adotando o mesmo posicionamento do STF no MS 36869. Portanto, determinou a manutenção do pagamento da VPNI até a absorção por reajustes </w:t>
      </w:r>
      <w:r w:rsidRPr="16D0F8A3">
        <w:rPr>
          <w:rFonts w:ascii="Times New Roman" w:eastAsia="Times New Roman" w:hAnsi="Times New Roman"/>
          <w:b/>
          <w:bCs/>
          <w:color w:val="000000" w:themeColor="text1"/>
          <w:sz w:val="26"/>
          <w:szCs w:val="26"/>
        </w:rPr>
        <w:t>futuros</w:t>
      </w:r>
      <w:r w:rsidRPr="16D0F8A3">
        <w:rPr>
          <w:rFonts w:ascii="Times New Roman" w:eastAsia="Times New Roman" w:hAnsi="Times New Roman"/>
          <w:color w:val="000000" w:themeColor="text1"/>
          <w:sz w:val="26"/>
          <w:szCs w:val="26"/>
        </w:rPr>
        <w:t>, inadmitindo a “absorção retroativa”. Assim disse o voto condutor do acórdão do TRT24:</w:t>
      </w:r>
    </w:p>
    <w:p w14:paraId="61F22693" w14:textId="3580E80C" w:rsidR="0D1069A5" w:rsidRDefault="0D1069A5" w:rsidP="16D0F8A3">
      <w:pPr>
        <w:spacing w:after="0" w:line="240" w:lineRule="auto"/>
        <w:ind w:left="1701" w:firstLine="1695"/>
        <w:jc w:val="both"/>
        <w:rPr>
          <w:rFonts w:ascii="Times New Roman" w:eastAsia="Times New Roman" w:hAnsi="Times New Roman"/>
          <w:color w:val="000000" w:themeColor="text1"/>
        </w:rPr>
      </w:pPr>
    </w:p>
    <w:p w14:paraId="54DC7431" w14:textId="57333B60"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Ademais, até a decisão proferida no Procedimento Administrativo n. 17.293/2019, o entendimento deste Tribunal Regional do Trabalho era o de que a parcela geradora do VPNI possuía natureza jurídica de função comissionada, e não de gratificação. Por tais motivos, considero, até mesmo com motivação isonômica, </w:t>
      </w:r>
      <w:r w:rsidRPr="16D0F8A3">
        <w:rPr>
          <w:rFonts w:ascii="Times New Roman" w:eastAsia="Times New Roman" w:hAnsi="Times New Roman"/>
          <w:b/>
          <w:bCs/>
          <w:color w:val="000000" w:themeColor="text1"/>
        </w:rPr>
        <w:t xml:space="preserve">considero aplicável ao caso a modulação de efeitos concretizada pelo Supremo Tribunal Federal na decisão proferida no RE 638.115-ED-ED, no sentido de que "aqueles que continuam recebendo até a presente data em razão de decisão administrativa tenham o pagamento mantido até sua absorção integral por quaisquer reajustes futuros concedidos aos </w:t>
      </w:r>
      <w:r w:rsidRPr="16D0F8A3">
        <w:rPr>
          <w:rFonts w:ascii="Times New Roman" w:eastAsia="Times New Roman" w:hAnsi="Times New Roman"/>
          <w:b/>
          <w:bCs/>
          <w:color w:val="000000" w:themeColor="text1"/>
        </w:rPr>
        <w:lastRenderedPageBreak/>
        <w:t>servidores".</w:t>
      </w:r>
      <w:r w:rsidRPr="16D0F8A3">
        <w:rPr>
          <w:rFonts w:ascii="Times New Roman" w:eastAsia="Times New Roman" w:hAnsi="Times New Roman"/>
          <w:color w:val="000000" w:themeColor="text1"/>
        </w:rPr>
        <w:t xml:space="preserve"> Destarte, por considerar aplicável ao caso a modulação de efeitos realizada pelo Excelso Supremo Tribunal Federal CONCEDO a segurança para, ao revés da abrupta interrupção do pagamento da parcela incorporada, seja ela absorvida pelos futuros reajustes salariais concedidos aos servidores do Poder Judiciário em geral.”</w:t>
      </w:r>
    </w:p>
    <w:p w14:paraId="1372405F" w14:textId="6917D332"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(TRT24, Pleno, Processo nº 0024015-44.2020.5.24.0000 – MSCol, julgado em 09/07/2020)</w:t>
      </w:r>
    </w:p>
    <w:p w14:paraId="1B01C97D" w14:textId="2918475A"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2833390F" w14:textId="37BDFF61" w:rsidR="0D1069A5" w:rsidRDefault="45081017"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Na</w:t>
      </w:r>
      <w:r w:rsidRPr="16D0F8A3">
        <w:rPr>
          <w:rFonts w:ascii="Times New Roman" w:eastAsia="Times New Roman" w:hAnsi="Times New Roman"/>
          <w:b/>
          <w:bCs/>
          <w:color w:val="000000" w:themeColor="text1"/>
          <w:sz w:val="26"/>
          <w:szCs w:val="26"/>
        </w:rPr>
        <w:t xml:space="preserve"> Seção Judiciária do Ceará, </w:t>
      </w:r>
      <w:r w:rsidRPr="16D0F8A3">
        <w:rPr>
          <w:rFonts w:ascii="Times New Roman" w:eastAsia="Times New Roman" w:hAnsi="Times New Roman"/>
          <w:color w:val="000000" w:themeColor="text1"/>
          <w:sz w:val="26"/>
          <w:szCs w:val="26"/>
        </w:rPr>
        <w:t>o processo</w:t>
      </w:r>
      <w:r w:rsidRPr="16D0F8A3">
        <w:rPr>
          <w:rFonts w:ascii="Times New Roman" w:eastAsia="Times New Roman" w:hAnsi="Times New Roman"/>
          <w:b/>
          <w:bCs/>
          <w:color w:val="000000" w:themeColor="text1"/>
          <w:sz w:val="26"/>
          <w:szCs w:val="26"/>
        </w:rPr>
        <w:t xml:space="preserve"> 0520587-27.2018.4.05.8100S</w:t>
      </w:r>
      <w:r w:rsidRPr="16D0F8A3">
        <w:rPr>
          <w:rFonts w:ascii="Times New Roman" w:eastAsia="Times New Roman" w:hAnsi="Times New Roman"/>
          <w:color w:val="000000" w:themeColor="text1"/>
          <w:sz w:val="26"/>
          <w:szCs w:val="26"/>
        </w:rPr>
        <w:t xml:space="preserve"> teve sentença de procedência transitada em julgado, onde foi considerado que a GAE possui vedação legal para percepção durante efetivo exercício de função comissionada ou cargo em comissão, enquanto a VPNI foi incorporada antes da criação da GAE, portanto não se configura como exercício de função comissionada e, devido a isso, é possível a cumulação das duas rubricas.</w:t>
      </w:r>
    </w:p>
    <w:p w14:paraId="61F3E76B" w14:textId="66DC3102"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6DB23E57" w14:textId="29C3AEB0" w:rsidR="0D1069A5" w:rsidRDefault="45081017"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Na </w:t>
      </w:r>
      <w:r w:rsidRPr="16D0F8A3">
        <w:rPr>
          <w:rFonts w:ascii="Times New Roman" w:eastAsia="Times New Roman" w:hAnsi="Times New Roman"/>
          <w:b/>
          <w:bCs/>
          <w:color w:val="000000" w:themeColor="text1"/>
          <w:sz w:val="26"/>
          <w:szCs w:val="26"/>
        </w:rPr>
        <w:t xml:space="preserve">Seção Judiciária do Distrito Federal </w:t>
      </w:r>
      <w:r w:rsidRPr="16D0F8A3">
        <w:rPr>
          <w:rFonts w:ascii="Times New Roman" w:eastAsia="Times New Roman" w:hAnsi="Times New Roman"/>
          <w:color w:val="000000" w:themeColor="text1"/>
          <w:sz w:val="26"/>
          <w:szCs w:val="26"/>
        </w:rPr>
        <w:t>(6ª Vara Cível), o                      processo</w:t>
      </w:r>
      <w:r w:rsidRPr="16D0F8A3">
        <w:rPr>
          <w:rFonts w:ascii="Times New Roman" w:eastAsia="Times New Roman" w:hAnsi="Times New Roman"/>
          <w:b/>
          <w:bCs/>
          <w:color w:val="000000" w:themeColor="text1"/>
          <w:sz w:val="26"/>
          <w:szCs w:val="26"/>
        </w:rPr>
        <w:t xml:space="preserve"> 1013833-87.2020.4.01.3400</w:t>
      </w:r>
      <w:r w:rsidRPr="16D0F8A3">
        <w:rPr>
          <w:rFonts w:ascii="Times New Roman" w:eastAsia="Times New Roman" w:hAnsi="Times New Roman"/>
          <w:color w:val="000000" w:themeColor="text1"/>
          <w:sz w:val="26"/>
          <w:szCs w:val="26"/>
        </w:rPr>
        <w:t xml:space="preserve"> teve sentença de procedência para reconhecer a </w:t>
      </w:r>
      <w:r w:rsidRPr="16D0F8A3">
        <w:rPr>
          <w:rFonts w:ascii="Times New Roman" w:eastAsia="Times New Roman" w:hAnsi="Times New Roman"/>
          <w:b/>
          <w:bCs/>
          <w:color w:val="000000" w:themeColor="text1"/>
          <w:sz w:val="26"/>
          <w:szCs w:val="26"/>
        </w:rPr>
        <w:t>decadência</w:t>
      </w:r>
      <w:r w:rsidRPr="16D0F8A3">
        <w:rPr>
          <w:rFonts w:ascii="Times New Roman" w:eastAsia="Times New Roman" w:hAnsi="Times New Roman"/>
          <w:color w:val="000000" w:themeColor="text1"/>
          <w:sz w:val="26"/>
          <w:szCs w:val="26"/>
        </w:rPr>
        <w:t xml:space="preserve"> do direito de a administração pública cortar a parcela de VPNI recebida conjuntamente com a GAE. Diz a sentença:                                                                                                                      </w:t>
      </w:r>
    </w:p>
    <w:p w14:paraId="6513756A" w14:textId="68A7E932"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15583D71" w14:textId="480AC2F7" w:rsidR="0D1069A5" w:rsidRDefault="45081017" w:rsidP="16D0F8A3">
      <w:pPr>
        <w:spacing w:after="0" w:line="240" w:lineRule="auto"/>
        <w:ind w:left="1701" w:right="15" w:hanging="6"/>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"Contudo, o recebimento dessas verbas está protegido pela segurança jurídica, e as conclusões acima assinaladas deveriam ter sido aventadas no prazo decadencial. Como já assinalado, os quintos incorporados, transformados em VPNI, e a GAE são pagos, cumulativamente, há mais de 5 (cinco) anos, de forma contínua e ininterrupta, desde a edição da Lei 11.416, de 2006. Nada impedia que a Administração Pública exercesse a autotutela, desde que no prazo decadencial previsto no parágrafo primeiro do artigo 54 da Lei 9.784/1999: [...]</w:t>
      </w:r>
    </w:p>
    <w:p w14:paraId="5EC2E12F" w14:textId="495A2954" w:rsidR="0D1069A5" w:rsidRDefault="0D1069A5" w:rsidP="16D0F8A3">
      <w:pPr>
        <w:spacing w:after="0" w:line="240" w:lineRule="auto"/>
        <w:ind w:left="1701" w:right="15" w:hanging="6"/>
        <w:jc w:val="both"/>
        <w:rPr>
          <w:rFonts w:ascii="Times New Roman" w:eastAsia="Times New Roman" w:hAnsi="Times New Roman"/>
          <w:color w:val="000000" w:themeColor="text1"/>
        </w:rPr>
      </w:pPr>
    </w:p>
    <w:p w14:paraId="1B815E10" w14:textId="236BB967" w:rsidR="0D1069A5" w:rsidRDefault="45081017" w:rsidP="16D0F8A3">
      <w:pPr>
        <w:spacing w:after="0" w:line="240" w:lineRule="auto"/>
        <w:ind w:left="1701" w:right="15" w:hanging="6"/>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DISPOSITIVO</w:t>
      </w:r>
    </w:p>
    <w:p w14:paraId="5DE0239A" w14:textId="3DDEAEF0" w:rsidR="0D1069A5" w:rsidRDefault="0D1069A5" w:rsidP="16D0F8A3">
      <w:pPr>
        <w:spacing w:after="0" w:line="240" w:lineRule="auto"/>
        <w:ind w:left="1701" w:right="15" w:hanging="6"/>
        <w:jc w:val="both"/>
        <w:rPr>
          <w:rFonts w:ascii="Times New Roman" w:eastAsia="Times New Roman" w:hAnsi="Times New Roman"/>
          <w:color w:val="000000" w:themeColor="text1"/>
        </w:rPr>
      </w:pPr>
    </w:p>
    <w:p w14:paraId="179FCA5F" w14:textId="67C3407E" w:rsidR="0D1069A5" w:rsidRDefault="45081017" w:rsidP="16D0F8A3">
      <w:pPr>
        <w:spacing w:after="0" w:line="240" w:lineRule="auto"/>
        <w:ind w:left="1695" w:right="1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Ante o exposto, julgo PROCEDENTE o pedido formulado na Inicial e declaro extinto o processo com resolução do mérito, nos termos do artigo 487, I do Código de Processo Civil de 2015. Declaro o direito do autor à manutenção de acumulação da VPNI, decorrente da incorporação dos quintos, com a GAE, haja vista que tal situação perdura há mais de 5 (cinco) anos. Anulo o ato administrativo que determinou o corte da VPNI, decorrente da incorporação dos quintos. Condeno a União Federal ao restabelecimento do pagamento cumulado da VPNI com a GAE, bem como ao pagamento dos valores retroativos devidos em razão do direito declarado, acrescido de juros de mora e correção monetária, nos termos da Lei.</w:t>
      </w:r>
    </w:p>
    <w:p w14:paraId="7ACF9B85" w14:textId="499D2C3C"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16F876EE" w14:textId="5E4C9A61" w:rsidR="0D1069A5" w:rsidRDefault="45081017" w:rsidP="373D5F8C">
      <w:pPr>
        <w:spacing w:after="0" w:line="240" w:lineRule="auto"/>
        <w:ind w:right="15" w:firstLine="1695"/>
        <w:jc w:val="both"/>
        <w:rPr>
          <w:rFonts w:ascii="Times New Roman" w:eastAsia="Times New Roman" w:hAnsi="Times New Roman"/>
          <w:color w:val="000000" w:themeColor="text1"/>
          <w:sz w:val="26"/>
          <w:szCs w:val="26"/>
        </w:rPr>
      </w:pPr>
      <w:r w:rsidRPr="373D5F8C">
        <w:rPr>
          <w:rFonts w:ascii="Times New Roman" w:eastAsia="Times New Roman" w:hAnsi="Times New Roman"/>
          <w:color w:val="000000" w:themeColor="text1"/>
          <w:sz w:val="26"/>
          <w:szCs w:val="26"/>
        </w:rPr>
        <w:t xml:space="preserve">Como visto, além de </w:t>
      </w:r>
      <w:r w:rsidR="44411D1A" w:rsidRPr="373D5F8C">
        <w:rPr>
          <w:rFonts w:ascii="Times New Roman" w:eastAsia="Times New Roman" w:hAnsi="Times New Roman"/>
          <w:color w:val="000000" w:themeColor="text1"/>
          <w:sz w:val="26"/>
          <w:szCs w:val="26"/>
        </w:rPr>
        <w:t>decisões</w:t>
      </w:r>
      <w:r w:rsidRPr="373D5F8C">
        <w:rPr>
          <w:rFonts w:ascii="Times New Roman" w:eastAsia="Times New Roman" w:hAnsi="Times New Roman"/>
          <w:color w:val="000000" w:themeColor="text1"/>
          <w:sz w:val="26"/>
          <w:szCs w:val="26"/>
        </w:rPr>
        <w:t xml:space="preserve"> do Supremo Tribunal Federal, outros processos judiciais obtiveram decisões contrárias ao que determina o TCU, atestando a controvérsia que permeia a matéria e reforçando a necessidade de rejeição dos indícios de ilegalidade ou, pelo menos, a suspensão dos processos administrativos em </w:t>
      </w:r>
      <w:r w:rsidRPr="373D5F8C">
        <w:rPr>
          <w:rFonts w:ascii="Times New Roman" w:eastAsia="Times New Roman" w:hAnsi="Times New Roman"/>
          <w:color w:val="000000" w:themeColor="text1"/>
          <w:sz w:val="26"/>
          <w:szCs w:val="26"/>
        </w:rPr>
        <w:lastRenderedPageBreak/>
        <w:t>tramitação até que a matéria se consolide na representação em andamento na Corte de Contas</w:t>
      </w:r>
      <w:r w:rsidR="004A747B">
        <w:rPr>
          <w:rFonts w:ascii="Times New Roman" w:eastAsia="Times New Roman" w:hAnsi="Times New Roman"/>
          <w:color w:val="000000" w:themeColor="text1"/>
          <w:sz w:val="26"/>
          <w:szCs w:val="26"/>
        </w:rPr>
        <w:t>.</w:t>
      </w:r>
    </w:p>
    <w:p w14:paraId="7DAFA580" w14:textId="45D32E93" w:rsidR="0D1069A5" w:rsidRDefault="0D1069A5" w:rsidP="16D0F8A3">
      <w:pPr>
        <w:spacing w:after="0" w:line="240" w:lineRule="auto"/>
        <w:jc w:val="both"/>
        <w:rPr>
          <w:rFonts w:ascii="Times New Roman" w:eastAsia="Times New Roman" w:hAnsi="Times New Roman"/>
          <w:color w:val="000000" w:themeColor="text1"/>
          <w:sz w:val="26"/>
          <w:szCs w:val="26"/>
        </w:rPr>
      </w:pPr>
    </w:p>
    <w:p w14:paraId="513524D8" w14:textId="4FAD2FED" w:rsidR="0D1069A5" w:rsidRDefault="0049716F" w:rsidP="16D0F8A3">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b/>
          <w:bCs/>
          <w:color w:val="000000" w:themeColor="text1"/>
          <w:sz w:val="26"/>
          <w:szCs w:val="26"/>
        </w:rPr>
        <w:t>3</w:t>
      </w:r>
      <w:r w:rsidR="45081017" w:rsidRPr="16D0F8A3">
        <w:rPr>
          <w:rFonts w:ascii="Times New Roman" w:eastAsia="Times New Roman" w:hAnsi="Times New Roman"/>
          <w:b/>
          <w:bCs/>
          <w:color w:val="000000" w:themeColor="text1"/>
          <w:sz w:val="26"/>
          <w:szCs w:val="26"/>
        </w:rPr>
        <w:t xml:space="preserve">.3. </w:t>
      </w:r>
      <w:r w:rsidR="45081017" w:rsidRPr="16D0F8A3">
        <w:rPr>
          <w:rFonts w:ascii="Times New Roman" w:eastAsia="Times New Roman" w:hAnsi="Times New Roman"/>
          <w:b/>
          <w:bCs/>
          <w:color w:val="000000" w:themeColor="text1"/>
          <w:sz w:val="26"/>
          <w:szCs w:val="26"/>
          <w:u w:val="single"/>
        </w:rPr>
        <w:t>Precedentes administrativos pela decadência, legalidade ou compensação futura da VPNI dos Oficiais de Justiça Avaliadores Federais</w:t>
      </w:r>
    </w:p>
    <w:p w14:paraId="3BE9FADF" w14:textId="7DFD23D4" w:rsidR="0D1069A5" w:rsidRDefault="0D1069A5" w:rsidP="16D0F8A3">
      <w:pPr>
        <w:spacing w:after="0" w:line="240" w:lineRule="auto"/>
        <w:jc w:val="both"/>
        <w:rPr>
          <w:rFonts w:ascii="Times New Roman" w:eastAsia="Times New Roman" w:hAnsi="Times New Roman"/>
          <w:color w:val="000000" w:themeColor="text1"/>
          <w:sz w:val="26"/>
          <w:szCs w:val="26"/>
        </w:rPr>
      </w:pPr>
    </w:p>
    <w:p w14:paraId="6559767D" w14:textId="4E620294" w:rsidR="0D1069A5" w:rsidRDefault="45081017"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Recentemente, ao apreciar as notificações encaminhadas pelo TCU, o Pleno do </w:t>
      </w:r>
      <w:r w:rsidRPr="16D0F8A3">
        <w:rPr>
          <w:rFonts w:ascii="Times New Roman" w:eastAsia="Times New Roman" w:hAnsi="Times New Roman"/>
          <w:b/>
          <w:bCs/>
          <w:color w:val="000000" w:themeColor="text1"/>
          <w:sz w:val="26"/>
          <w:szCs w:val="26"/>
        </w:rPr>
        <w:t>Tribunal Regional do Trabalho a 11ª Região</w:t>
      </w:r>
      <w:r w:rsidRPr="16D0F8A3">
        <w:rPr>
          <w:rFonts w:ascii="Times New Roman" w:eastAsia="Times New Roman" w:hAnsi="Times New Roman"/>
          <w:color w:val="000000" w:themeColor="text1"/>
          <w:sz w:val="26"/>
          <w:szCs w:val="26"/>
        </w:rPr>
        <w:t xml:space="preserve"> concluiu pela incidência da decadência do artigo 54 da Lei 9.784, de 1999, prejudicando qualquer outra análise superveniente. O acórdão plenário foi produzido no julgamento de recurso administrativo nos autos do </w:t>
      </w:r>
      <w:r w:rsidRPr="16D0F8A3">
        <w:rPr>
          <w:rFonts w:ascii="Times New Roman" w:eastAsia="Times New Roman" w:hAnsi="Times New Roman"/>
          <w:b/>
          <w:bCs/>
          <w:color w:val="000000" w:themeColor="text1"/>
          <w:sz w:val="26"/>
          <w:szCs w:val="26"/>
        </w:rPr>
        <w:t>Processo TRT MA-46/2020</w:t>
      </w:r>
      <w:r w:rsidRPr="16D0F8A3">
        <w:rPr>
          <w:rFonts w:ascii="Times New Roman" w:eastAsia="Times New Roman" w:hAnsi="Times New Roman"/>
          <w:color w:val="000000" w:themeColor="text1"/>
          <w:sz w:val="26"/>
          <w:szCs w:val="26"/>
        </w:rPr>
        <w:t xml:space="preserve">, reconhecendo que a verba já foi incorporada definitivamente ao patrimônio jurídico dos Oficiais de Justiça Avaliadores Federais, vez que alcançada pelo instituto da decadência, conforme a ementa abaixo: </w:t>
      </w:r>
    </w:p>
    <w:p w14:paraId="40017906" w14:textId="738B6708"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2C922B62" w14:textId="57AB164E" w:rsidR="0D1069A5" w:rsidRDefault="45081017" w:rsidP="16D0F8A3">
      <w:pPr>
        <w:spacing w:after="0" w:line="240" w:lineRule="auto"/>
        <w:ind w:left="1701" w:right="15" w:hanging="6"/>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REVISÃO DE ATO ADMINISTRATIVO. PODER DE AUTOTUTELA. Que dando-se inerte, a DA ADMINISTRAÇÃO. PRAZO DECADENCIAL administração pública, por mais de uma década quanto ao pagamento de parcelas de natureza alimentar ao administrado, fez com que a verba se tornasse incorporada de forma definitiva ao seu patrimônio, porque recebida de boa-fé pelo servidor, estabilizando-se a relação jurídico-administrativa.  Nesse contexto, impositivo é reconhecer-se a decadência do direito da Administração em rever os efeitos da má interpretação do ato administrativo por ele proferido, prevalecendo, no caso, a segurança jurídica em detrimento da legalidade da atuação administrativa. Recurso provido.</w:t>
      </w:r>
    </w:p>
    <w:p w14:paraId="5955B6A1" w14:textId="5D08C07C"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37875E7E" w14:textId="1F476A1F" w:rsidR="0D1069A5" w:rsidRDefault="45081017" w:rsidP="16D0F8A3">
      <w:pPr>
        <w:spacing w:after="0" w:line="240" w:lineRule="auto"/>
        <w:ind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O mesmo ocorreu no </w:t>
      </w:r>
      <w:r w:rsidRPr="16D0F8A3">
        <w:rPr>
          <w:rFonts w:ascii="Times New Roman" w:eastAsia="Times New Roman" w:hAnsi="Times New Roman"/>
          <w:b/>
          <w:bCs/>
          <w:color w:val="000000" w:themeColor="text1"/>
          <w:sz w:val="26"/>
          <w:szCs w:val="26"/>
        </w:rPr>
        <w:t>Tribunal Regional do Trabalho da 17ª Região</w:t>
      </w:r>
      <w:r w:rsidRPr="16D0F8A3">
        <w:rPr>
          <w:rFonts w:ascii="Times New Roman" w:eastAsia="Times New Roman" w:hAnsi="Times New Roman"/>
          <w:color w:val="000000" w:themeColor="text1"/>
          <w:sz w:val="26"/>
          <w:szCs w:val="26"/>
        </w:rPr>
        <w:t>, em decisão igualmente recente:</w:t>
      </w:r>
    </w:p>
    <w:p w14:paraId="49FA380C" w14:textId="4ED6EECB" w:rsidR="0D1069A5" w:rsidRDefault="0D1069A5" w:rsidP="16D0F8A3">
      <w:pPr>
        <w:spacing w:after="0" w:line="240" w:lineRule="auto"/>
        <w:ind w:firstLine="1701"/>
        <w:jc w:val="both"/>
        <w:rPr>
          <w:rFonts w:ascii="Times New Roman" w:eastAsia="Times New Roman" w:hAnsi="Times New Roman"/>
          <w:color w:val="000000" w:themeColor="text1"/>
          <w:sz w:val="26"/>
          <w:szCs w:val="26"/>
        </w:rPr>
      </w:pPr>
    </w:p>
    <w:p w14:paraId="637D56C4" w14:textId="473BC1C3"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REFERÊNCIA: </w:t>
      </w:r>
      <w:r w:rsidRPr="16D0F8A3">
        <w:rPr>
          <w:rFonts w:ascii="Times New Roman" w:eastAsia="Times New Roman" w:hAnsi="Times New Roman"/>
          <w:b/>
          <w:bCs/>
          <w:color w:val="000000" w:themeColor="text1"/>
        </w:rPr>
        <w:t>PA 0000190-21.2020.5.17.0500</w:t>
      </w:r>
    </w:p>
    <w:p w14:paraId="209EFA27" w14:textId="0A3AA4DF"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1.Acolho as manifestações do SEDIV e da Assessoria Jurídica e reconheço a decadência do direito da Administração de invalidar os atos de incorporação dos quintos/décimos da função comissionada FC Executante de Mandados na remuneração da servidora Deise Mara da Cunha, com fulcro no art. 54da Lei n. 9.784/99.</w:t>
      </w:r>
    </w:p>
    <w:p w14:paraId="7237FC1A" w14:textId="3AE84C4B"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2.À SGP, para ciência da servidora interessada. </w:t>
      </w:r>
    </w:p>
    <w:p w14:paraId="7C8136E0" w14:textId="6D4ECF36"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3.À Divisão de Controle Interno, para providenciar a ciência ao TCU, por meio do sistema e-pessoal, remetendo cópia do processo administrativo individual.</w:t>
      </w:r>
    </w:p>
    <w:p w14:paraId="3CE7CF6E" w14:textId="209D6EE7"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250AE81F" w14:textId="375111EE"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O </w:t>
      </w:r>
      <w:r w:rsidRPr="16D0F8A3">
        <w:rPr>
          <w:rFonts w:ascii="Times New Roman" w:eastAsia="Times New Roman" w:hAnsi="Times New Roman"/>
          <w:b/>
          <w:bCs/>
          <w:color w:val="000000" w:themeColor="text1"/>
          <w:sz w:val="26"/>
          <w:szCs w:val="26"/>
        </w:rPr>
        <w:t>Tribunal Regional do trabalho da 4ª Região</w:t>
      </w:r>
      <w:r w:rsidRPr="16D0F8A3">
        <w:rPr>
          <w:rFonts w:ascii="Times New Roman" w:eastAsia="Times New Roman" w:hAnsi="Times New Roman"/>
          <w:color w:val="000000" w:themeColor="text1"/>
          <w:sz w:val="26"/>
          <w:szCs w:val="26"/>
        </w:rPr>
        <w:t xml:space="preserve"> também entendeu como descaracterizados os indícios e acolheu inteiramente o entendimento da área técnica e da Direção Geral, quando da análise do </w:t>
      </w:r>
      <w:r w:rsidRPr="16D0F8A3">
        <w:rPr>
          <w:rFonts w:ascii="Times New Roman" w:eastAsia="Times New Roman" w:hAnsi="Times New Roman"/>
          <w:b/>
          <w:bCs/>
          <w:color w:val="000000" w:themeColor="text1"/>
          <w:sz w:val="26"/>
          <w:szCs w:val="26"/>
        </w:rPr>
        <w:t>PROAD nº 3717/2019</w:t>
      </w:r>
      <w:r w:rsidRPr="16D0F8A3">
        <w:rPr>
          <w:rFonts w:ascii="Times New Roman" w:eastAsia="Times New Roman" w:hAnsi="Times New Roman"/>
          <w:color w:val="000000" w:themeColor="text1"/>
          <w:sz w:val="26"/>
          <w:szCs w:val="26"/>
        </w:rPr>
        <w:t>. Segundo o parecer da Diretoria-Geral:</w:t>
      </w:r>
    </w:p>
    <w:p w14:paraId="52A4F56B" w14:textId="337695AE"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43DB2EF2" w14:textId="0F6377AE" w:rsidR="0D1069A5" w:rsidRDefault="45081017" w:rsidP="16D0F8A3">
      <w:pPr>
        <w:spacing w:after="0" w:line="240" w:lineRule="auto"/>
        <w:ind w:left="1701" w:hanging="6"/>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lastRenderedPageBreak/>
        <w:t>Surpreende que o entendimento adotado no voto acolhido no Acórdão TCU nº 2784/2016 - Plenário, em especial nos seus tópicos 8 e 13, coloque em dúvida   a   legalidade   da   incorporação   de   quintos   pelo   exercício   da   função   de Executante de Mandados FC-5, ao argumento de que o encargo tem natureza de gratificação, pois valoriza atribuições inerentes ao cargo efetivo ocupado por todos os servidores Oficiais de Justiça Avaliadores Federais. Isso porque não se tem notícia deque a incorporação de frações de quintos da função de Executante de Mandados pelos servidores que a exerceram tenha sido contestada ou julgada imprópria em algum momento pretérito pelo Tribunal de Contas da União, com fundamento na natureza das atribuições que foram por ela remuneradas, como mostra a informação complementar anexada às fls. 206-207. E não foram raros os atos concessórios de aposentadoria de Oficiais de Justiça Avaliadores submetidos e aprovados pelo TCU até o presente momento, cujos fundamentos legais incluíam VPNI derivada da função comissionada de Executante de Mandados"</w:t>
      </w:r>
    </w:p>
    <w:p w14:paraId="0E829CBC" w14:textId="28277089" w:rsidR="0D1069A5" w:rsidRDefault="0D1069A5" w:rsidP="16D0F8A3">
      <w:pPr>
        <w:spacing w:after="0" w:line="240" w:lineRule="auto"/>
        <w:ind w:firstLine="1695"/>
        <w:jc w:val="both"/>
        <w:rPr>
          <w:rFonts w:ascii="Times New Roman" w:eastAsia="Times New Roman" w:hAnsi="Times New Roman"/>
          <w:color w:val="000000" w:themeColor="text1"/>
        </w:rPr>
      </w:pPr>
    </w:p>
    <w:p w14:paraId="6BAD963A" w14:textId="13021EB1" w:rsidR="0D1069A5" w:rsidRDefault="45081017" w:rsidP="16D0F8A3">
      <w:pPr>
        <w:spacing w:after="0" w:line="240" w:lineRule="auto"/>
        <w:ind w:right="15" w:firstLine="1701"/>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Em sequência, ainda no PROAD nº 3717/2019, a Presidente do </w:t>
      </w:r>
      <w:r w:rsidRPr="16D0F8A3">
        <w:rPr>
          <w:rFonts w:ascii="Times New Roman" w:eastAsia="Times New Roman" w:hAnsi="Times New Roman"/>
          <w:b/>
          <w:bCs/>
          <w:color w:val="000000" w:themeColor="text1"/>
          <w:sz w:val="26"/>
          <w:szCs w:val="26"/>
        </w:rPr>
        <w:t>TRT4</w:t>
      </w:r>
      <w:r w:rsidRPr="16D0F8A3">
        <w:rPr>
          <w:rFonts w:ascii="Times New Roman" w:eastAsia="Times New Roman" w:hAnsi="Times New Roman"/>
          <w:color w:val="000000" w:themeColor="text1"/>
          <w:sz w:val="26"/>
          <w:szCs w:val="26"/>
        </w:rPr>
        <w:t xml:space="preserve"> assim se manifestou:</w:t>
      </w:r>
    </w:p>
    <w:p w14:paraId="4A97EE57" w14:textId="29A212D7" w:rsidR="0D1069A5" w:rsidRDefault="0D1069A5" w:rsidP="16D0F8A3">
      <w:pPr>
        <w:spacing w:after="0" w:line="240" w:lineRule="auto"/>
        <w:ind w:left="1701" w:right="15"/>
        <w:jc w:val="both"/>
        <w:rPr>
          <w:rFonts w:ascii="Times New Roman" w:eastAsia="Times New Roman" w:hAnsi="Times New Roman"/>
          <w:color w:val="000000" w:themeColor="text1"/>
        </w:rPr>
      </w:pPr>
    </w:p>
    <w:p w14:paraId="5A9087CD" w14:textId="5FB68965" w:rsidR="0D1069A5" w:rsidRDefault="45081017" w:rsidP="16D0F8A3">
      <w:pPr>
        <w:spacing w:after="0" w:line="240" w:lineRule="auto"/>
        <w:ind w:left="1701" w:right="1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A simples alteração de entendimento quanto à regularidade desta incorporação, no sentido defendido pelo TCU, implicaria ofensa a direitos do servidor público, tais como a segurança jurídica, o direito adquirido e, ainda que de forma transversa e diferida, a irredutibilidade salarial. </w:t>
      </w:r>
    </w:p>
    <w:p w14:paraId="05F32673" w14:textId="4EF26431"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b/>
          <w:bCs/>
          <w:color w:val="000000" w:themeColor="text1"/>
        </w:rPr>
        <w:t>Destaca-se, ainda, que não se trata de revisão de ato flagrantemente inconstitucional, a admitir a não submissão da Administração ao prazo decadencial de 05 anos previsto no artigo 54 da Lei nº 9.784/1999.</w:t>
      </w:r>
    </w:p>
    <w:p w14:paraId="5A7917D2" w14:textId="6B9CB730"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w:t>
      </w:r>
    </w:p>
    <w:p w14:paraId="498F7569" w14:textId="6CCF290C" w:rsidR="0D1069A5" w:rsidRDefault="45081017" w:rsidP="16D0F8A3">
      <w:pPr>
        <w:spacing w:after="0" w:line="240" w:lineRule="auto"/>
        <w:ind w:left="1701"/>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Por fim, importa ressaltar que, com a adoção de entendimento diverso ao manifestado pela Corte de Contas, não se está questionando a vinculação dos procedimentos deste Regional em relação às decisões do órgão de controle externo. Compreende-se, contudo, que esta manifestação se encontra dentro da margem de discricionariedade deste Regional, sendo expressão do direito ao contraditório, a fim de buscar o diálogo entre as instituições envolvidas, na defesa conjunta da correta atuação da Administração Pública.</w:t>
      </w:r>
    </w:p>
    <w:p w14:paraId="751A2E44" w14:textId="0125DB06"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36865D08" w14:textId="2155CBEC"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Por fim, a presidência do </w:t>
      </w:r>
      <w:r w:rsidRPr="16D0F8A3">
        <w:rPr>
          <w:rFonts w:ascii="Times New Roman" w:eastAsia="Times New Roman" w:hAnsi="Times New Roman"/>
          <w:b/>
          <w:bCs/>
          <w:color w:val="000000" w:themeColor="text1"/>
          <w:sz w:val="26"/>
          <w:szCs w:val="26"/>
        </w:rPr>
        <w:t>Tribunal Regional do Trabalho da 4ª Região</w:t>
      </w:r>
      <w:r w:rsidRPr="16D0F8A3">
        <w:rPr>
          <w:rFonts w:ascii="Times New Roman" w:eastAsia="Times New Roman" w:hAnsi="Times New Roman"/>
          <w:color w:val="000000" w:themeColor="text1"/>
          <w:sz w:val="26"/>
          <w:szCs w:val="26"/>
        </w:rPr>
        <w:t xml:space="preserve"> determinou que o registro dos indícios apontados pelo TCU seja sinalizado como não procedente, por entender que as irregularidades imputadas não se verificam: </w:t>
      </w:r>
    </w:p>
    <w:p w14:paraId="26EFEFFE" w14:textId="3234798A"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46E2AEE4" w14:textId="73D0CB56" w:rsidR="0D1069A5" w:rsidRDefault="45081017" w:rsidP="16D0F8A3">
      <w:pPr>
        <w:spacing w:after="0" w:line="240" w:lineRule="auto"/>
        <w:ind w:left="1701" w:hanging="6"/>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t xml:space="preserve">Com base no exposto, </w:t>
      </w:r>
      <w:r w:rsidRPr="16D0F8A3">
        <w:rPr>
          <w:rFonts w:ascii="Times New Roman" w:eastAsia="Times New Roman" w:hAnsi="Times New Roman"/>
          <w:b/>
          <w:bCs/>
          <w:color w:val="000000" w:themeColor="text1"/>
        </w:rPr>
        <w:t>entendo não caracterizadas as irregularidades imputadas no sistema e-Pessoal do Tribunal  de Contas  da  União  –TCU aos  143 servidores deste Tribunal, ativos e inativos (relacionados às fls. 03-11), que percebem, cumulativamente, parcelas de Gratificação de Atividade Externa – GAE e de Vantagem Pessoal Nominalmente Identificada – VPNI.</w:t>
      </w:r>
    </w:p>
    <w:p w14:paraId="7B6868E3" w14:textId="28D3491F" w:rsidR="0D1069A5" w:rsidRDefault="45081017" w:rsidP="16D0F8A3">
      <w:pPr>
        <w:spacing w:after="0" w:line="240" w:lineRule="auto"/>
        <w:ind w:left="1695"/>
        <w:jc w:val="both"/>
        <w:rPr>
          <w:rFonts w:ascii="Times New Roman" w:eastAsia="Times New Roman" w:hAnsi="Times New Roman"/>
          <w:color w:val="000000" w:themeColor="text1"/>
        </w:rPr>
      </w:pPr>
      <w:r w:rsidRPr="16D0F8A3">
        <w:rPr>
          <w:rFonts w:ascii="Times New Roman" w:eastAsia="Times New Roman" w:hAnsi="Times New Roman"/>
          <w:color w:val="000000" w:themeColor="text1"/>
        </w:rPr>
        <w:lastRenderedPageBreak/>
        <w:t xml:space="preserve">Diante do exposto, </w:t>
      </w:r>
      <w:r w:rsidRPr="16D0F8A3">
        <w:rPr>
          <w:rFonts w:ascii="Times New Roman" w:eastAsia="Times New Roman" w:hAnsi="Times New Roman"/>
          <w:b/>
          <w:bCs/>
          <w:color w:val="000000" w:themeColor="text1"/>
        </w:rPr>
        <w:t>em resposta aos indícios apontados pelo TCU (fls. 03-11) e de acordo com o que consta no Manual do Módulo Indícios do “sistema ePessoal”, determino:</w:t>
      </w:r>
    </w:p>
    <w:p w14:paraId="0880954A" w14:textId="0E60C118" w:rsidR="0D1069A5" w:rsidRDefault="45081017" w:rsidP="16D0F8A3">
      <w:pPr>
        <w:spacing w:after="0" w:line="240" w:lineRule="auto"/>
        <w:ind w:left="1701" w:hanging="6"/>
        <w:jc w:val="both"/>
        <w:rPr>
          <w:rFonts w:ascii="Times New Roman" w:eastAsia="Times New Roman" w:hAnsi="Times New Roman"/>
          <w:color w:val="000000" w:themeColor="text1"/>
        </w:rPr>
      </w:pPr>
      <w:r w:rsidRPr="16D0F8A3">
        <w:rPr>
          <w:rFonts w:ascii="Times New Roman" w:eastAsia="Times New Roman" w:hAnsi="Times New Roman"/>
          <w:b/>
          <w:bCs/>
          <w:color w:val="000000" w:themeColor="text1"/>
        </w:rPr>
        <w:t>a) o registro no sistema e-Pessoal do enquadramento na opção nº 05 - “O indício não procede, pois a situação do servidor/pensionista está amparada por outras normas e/ou decisões”;</w:t>
      </w:r>
    </w:p>
    <w:p w14:paraId="5CD153AA" w14:textId="07A4C1FE" w:rsidR="0D1069A5" w:rsidRDefault="0D1069A5" w:rsidP="16D0F8A3">
      <w:pPr>
        <w:spacing w:after="0" w:line="240" w:lineRule="auto"/>
        <w:ind w:firstLine="1695"/>
        <w:jc w:val="both"/>
        <w:rPr>
          <w:rFonts w:ascii="Times New Roman" w:eastAsia="Times New Roman" w:hAnsi="Times New Roman"/>
          <w:color w:val="000000" w:themeColor="text1"/>
          <w:sz w:val="26"/>
          <w:szCs w:val="26"/>
        </w:rPr>
      </w:pPr>
    </w:p>
    <w:p w14:paraId="7DECDF8B" w14:textId="5117C3EE" w:rsidR="0D1069A5" w:rsidRDefault="45081017" w:rsidP="16D0F8A3">
      <w:pPr>
        <w:spacing w:after="0" w:line="240" w:lineRule="auto"/>
        <w:ind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A Corte de Contas devolveu os indícios, porém, diante da firme posição da presidência daquele Tribunal, o TCU - em manifestação de 24/08/2020 - instruiu o TRT4, para "então solicitamos que nos envie novamente os indícios que se encontram aguardando esclarecimento. Iremos colocá-los na aba ‘Tratado em Processo de Controle Externo’”, o que na prática equivale a sobrestar a apuração do indício até que haja a manifestação do Colegiado do TCU.</w:t>
      </w:r>
    </w:p>
    <w:p w14:paraId="7EA9B2CD" w14:textId="47F4B38B"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1DB1433F" w14:textId="1135CA44" w:rsidR="0D1069A5" w:rsidRDefault="45081017"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Na mesma direção do </w:t>
      </w:r>
      <w:r w:rsidRPr="16D0F8A3">
        <w:rPr>
          <w:rFonts w:ascii="Times New Roman" w:eastAsia="Times New Roman" w:hAnsi="Times New Roman"/>
          <w:b/>
          <w:bCs/>
          <w:color w:val="000000" w:themeColor="text1"/>
          <w:sz w:val="26"/>
          <w:szCs w:val="26"/>
        </w:rPr>
        <w:t>TRT4</w:t>
      </w:r>
      <w:r w:rsidRPr="16D0F8A3">
        <w:rPr>
          <w:rFonts w:ascii="Times New Roman" w:eastAsia="Times New Roman" w:hAnsi="Times New Roman"/>
          <w:color w:val="000000" w:themeColor="text1"/>
          <w:sz w:val="26"/>
          <w:szCs w:val="26"/>
        </w:rPr>
        <w:t xml:space="preserve">, </w:t>
      </w:r>
      <w:r w:rsidRPr="16D0F8A3">
        <w:rPr>
          <w:rFonts w:ascii="Times New Roman" w:eastAsia="Times New Roman" w:hAnsi="Times New Roman"/>
          <w:b/>
          <w:bCs/>
          <w:color w:val="000000" w:themeColor="text1"/>
          <w:sz w:val="26"/>
          <w:szCs w:val="26"/>
        </w:rPr>
        <w:t>TRT11</w:t>
      </w:r>
      <w:r w:rsidRPr="16D0F8A3">
        <w:rPr>
          <w:rFonts w:ascii="Times New Roman" w:eastAsia="Times New Roman" w:hAnsi="Times New Roman"/>
          <w:color w:val="000000" w:themeColor="text1"/>
          <w:sz w:val="26"/>
          <w:szCs w:val="26"/>
        </w:rPr>
        <w:t xml:space="preserve"> e </w:t>
      </w:r>
      <w:r w:rsidRPr="16D0F8A3">
        <w:rPr>
          <w:rFonts w:ascii="Times New Roman" w:eastAsia="Times New Roman" w:hAnsi="Times New Roman"/>
          <w:b/>
          <w:bCs/>
          <w:color w:val="000000" w:themeColor="text1"/>
          <w:sz w:val="26"/>
          <w:szCs w:val="26"/>
        </w:rPr>
        <w:t>TRT17</w:t>
      </w:r>
      <w:r w:rsidRPr="16D0F8A3">
        <w:rPr>
          <w:rFonts w:ascii="Times New Roman" w:eastAsia="Times New Roman" w:hAnsi="Times New Roman"/>
          <w:color w:val="000000" w:themeColor="text1"/>
          <w:sz w:val="26"/>
          <w:szCs w:val="26"/>
        </w:rPr>
        <w:t xml:space="preserve"> foram os pareceres das unidades técnicas do </w:t>
      </w:r>
      <w:r w:rsidRPr="16D0F8A3">
        <w:rPr>
          <w:rFonts w:ascii="Times New Roman" w:eastAsia="Times New Roman" w:hAnsi="Times New Roman"/>
          <w:b/>
          <w:bCs/>
          <w:color w:val="000000" w:themeColor="text1"/>
          <w:sz w:val="26"/>
          <w:szCs w:val="26"/>
          <w:u w:val="single"/>
        </w:rPr>
        <w:t>TRT10</w:t>
      </w:r>
      <w:r w:rsidRPr="16D0F8A3">
        <w:rPr>
          <w:rFonts w:ascii="Times New Roman" w:eastAsia="Times New Roman" w:hAnsi="Times New Roman"/>
          <w:color w:val="000000" w:themeColor="text1"/>
          <w:sz w:val="26"/>
          <w:szCs w:val="26"/>
        </w:rPr>
        <w:t xml:space="preserve"> (processo nº</w:t>
      </w:r>
      <w:r w:rsidRPr="16D0F8A3">
        <w:rPr>
          <w:rFonts w:ascii="Times New Roman" w:eastAsia="Times New Roman" w:hAnsi="Times New Roman"/>
          <w:b/>
          <w:bCs/>
          <w:color w:val="000000" w:themeColor="text1"/>
          <w:sz w:val="26"/>
          <w:szCs w:val="26"/>
        </w:rPr>
        <w:t xml:space="preserve"> 0007560-84.2019.5.10.8000</w:t>
      </w:r>
      <w:r w:rsidRPr="16D0F8A3">
        <w:rPr>
          <w:rFonts w:ascii="Times New Roman" w:eastAsia="Times New Roman" w:hAnsi="Times New Roman"/>
          <w:color w:val="000000" w:themeColor="text1"/>
          <w:sz w:val="26"/>
          <w:szCs w:val="26"/>
        </w:rPr>
        <w:t>)</w:t>
      </w:r>
      <w:r w:rsidRPr="16D0F8A3">
        <w:rPr>
          <w:rFonts w:ascii="Times New Roman" w:eastAsia="Times New Roman" w:hAnsi="Times New Roman"/>
          <w:b/>
          <w:bCs/>
          <w:color w:val="000000" w:themeColor="text1"/>
          <w:sz w:val="26"/>
          <w:szCs w:val="26"/>
        </w:rPr>
        <w:t xml:space="preserve">, </w:t>
      </w:r>
      <w:r w:rsidRPr="16D0F8A3">
        <w:rPr>
          <w:rFonts w:ascii="Times New Roman" w:eastAsia="Times New Roman" w:hAnsi="Times New Roman"/>
          <w:b/>
          <w:bCs/>
          <w:color w:val="000000" w:themeColor="text1"/>
          <w:sz w:val="26"/>
          <w:szCs w:val="26"/>
          <w:u w:val="single"/>
        </w:rPr>
        <w:t>TRT15</w:t>
      </w:r>
      <w:r w:rsidRPr="16D0F8A3">
        <w:rPr>
          <w:rFonts w:ascii="Times New Roman" w:eastAsia="Times New Roman" w:hAnsi="Times New Roman"/>
          <w:b/>
          <w:bCs/>
          <w:color w:val="000000" w:themeColor="text1"/>
          <w:sz w:val="26"/>
          <w:szCs w:val="26"/>
        </w:rPr>
        <w:t xml:space="preserve"> (</w:t>
      </w:r>
      <w:r w:rsidRPr="16D0F8A3">
        <w:rPr>
          <w:rFonts w:ascii="Times New Roman" w:eastAsia="Times New Roman" w:hAnsi="Times New Roman"/>
          <w:color w:val="000000" w:themeColor="text1"/>
          <w:sz w:val="26"/>
          <w:szCs w:val="26"/>
        </w:rPr>
        <w:t xml:space="preserve">protocolo administrativo - </w:t>
      </w:r>
      <w:r w:rsidRPr="16D0F8A3">
        <w:rPr>
          <w:rFonts w:ascii="Times New Roman" w:eastAsia="Times New Roman" w:hAnsi="Times New Roman"/>
          <w:b/>
          <w:bCs/>
          <w:color w:val="000000" w:themeColor="text1"/>
          <w:sz w:val="26"/>
          <w:szCs w:val="26"/>
        </w:rPr>
        <w:t>3135/22019-DG</w:t>
      </w:r>
      <w:r w:rsidRPr="16D0F8A3">
        <w:rPr>
          <w:rFonts w:ascii="Times New Roman" w:eastAsia="Times New Roman" w:hAnsi="Times New Roman"/>
          <w:color w:val="000000" w:themeColor="text1"/>
          <w:sz w:val="26"/>
          <w:szCs w:val="26"/>
        </w:rPr>
        <w:t>)</w:t>
      </w:r>
      <w:r w:rsidRPr="16D0F8A3">
        <w:rPr>
          <w:rFonts w:ascii="Times New Roman" w:eastAsia="Times New Roman" w:hAnsi="Times New Roman"/>
          <w:b/>
          <w:bCs/>
          <w:color w:val="000000" w:themeColor="text1"/>
          <w:sz w:val="26"/>
          <w:szCs w:val="26"/>
        </w:rPr>
        <w:t xml:space="preserve"> e </w:t>
      </w:r>
      <w:r w:rsidRPr="16D0F8A3">
        <w:rPr>
          <w:rFonts w:ascii="Times New Roman" w:eastAsia="Times New Roman" w:hAnsi="Times New Roman"/>
          <w:b/>
          <w:bCs/>
          <w:color w:val="000000" w:themeColor="text1"/>
          <w:sz w:val="26"/>
          <w:szCs w:val="26"/>
          <w:u w:val="single"/>
        </w:rPr>
        <w:t>TRT18</w:t>
      </w:r>
      <w:r w:rsidRPr="16D0F8A3">
        <w:rPr>
          <w:rFonts w:cs="Calibri"/>
          <w:color w:val="000000" w:themeColor="text1"/>
        </w:rPr>
        <w:t xml:space="preserve"> (</w:t>
      </w:r>
      <w:r w:rsidRPr="16D0F8A3">
        <w:rPr>
          <w:rFonts w:ascii="Times New Roman" w:eastAsia="Times New Roman" w:hAnsi="Times New Roman"/>
          <w:color w:val="000000" w:themeColor="text1"/>
          <w:sz w:val="26"/>
          <w:szCs w:val="26"/>
        </w:rPr>
        <w:t>processo administrativo nº</w:t>
      </w:r>
      <w:r w:rsidRPr="16D0F8A3">
        <w:rPr>
          <w:rFonts w:ascii="Times New Roman" w:eastAsia="Times New Roman" w:hAnsi="Times New Roman"/>
          <w:b/>
          <w:bCs/>
          <w:color w:val="000000" w:themeColor="text1"/>
          <w:sz w:val="26"/>
          <w:szCs w:val="26"/>
        </w:rPr>
        <w:t xml:space="preserve"> 12235/2019</w:t>
      </w:r>
      <w:r w:rsidRPr="16D0F8A3">
        <w:rPr>
          <w:rFonts w:ascii="Times New Roman" w:eastAsia="Times New Roman" w:hAnsi="Times New Roman"/>
          <w:color w:val="000000" w:themeColor="text1"/>
          <w:sz w:val="26"/>
          <w:szCs w:val="26"/>
        </w:rPr>
        <w:t>).</w:t>
      </w:r>
    </w:p>
    <w:p w14:paraId="1FCFF008" w14:textId="4B3144D9" w:rsidR="0D1069A5" w:rsidRDefault="0D1069A5" w:rsidP="16D0F8A3">
      <w:pPr>
        <w:spacing w:after="0" w:line="240" w:lineRule="auto"/>
        <w:ind w:right="15" w:firstLine="1695"/>
        <w:jc w:val="both"/>
        <w:rPr>
          <w:rFonts w:ascii="Times New Roman" w:eastAsia="Times New Roman" w:hAnsi="Times New Roman"/>
          <w:color w:val="000000" w:themeColor="text1"/>
          <w:sz w:val="26"/>
          <w:szCs w:val="26"/>
        </w:rPr>
      </w:pPr>
    </w:p>
    <w:p w14:paraId="08C51B52" w14:textId="14BA8204" w:rsidR="0D1069A5" w:rsidRDefault="45081017" w:rsidP="16D0F8A3">
      <w:pPr>
        <w:spacing w:after="0" w:line="240" w:lineRule="auto"/>
        <w:ind w:right="15" w:firstLine="1695"/>
        <w:jc w:val="both"/>
        <w:rPr>
          <w:rFonts w:ascii="Times New Roman" w:eastAsia="Times New Roman" w:hAnsi="Times New Roman"/>
          <w:color w:val="000000" w:themeColor="text1"/>
          <w:sz w:val="26"/>
          <w:szCs w:val="26"/>
        </w:rPr>
      </w:pPr>
      <w:r w:rsidRPr="16D0F8A3">
        <w:rPr>
          <w:rFonts w:ascii="Times New Roman" w:eastAsia="Times New Roman" w:hAnsi="Times New Roman"/>
          <w:color w:val="000000" w:themeColor="text1"/>
          <w:sz w:val="26"/>
          <w:szCs w:val="26"/>
        </w:rPr>
        <w:t xml:space="preserve">No </w:t>
      </w:r>
      <w:r w:rsidRPr="16D0F8A3">
        <w:rPr>
          <w:rFonts w:ascii="Times New Roman" w:eastAsia="Times New Roman" w:hAnsi="Times New Roman"/>
          <w:b/>
          <w:bCs/>
          <w:color w:val="000000" w:themeColor="text1"/>
          <w:sz w:val="26"/>
          <w:szCs w:val="26"/>
        </w:rPr>
        <w:t>Tribunal Regional Federal da 3ª Região</w:t>
      </w:r>
      <w:r w:rsidRPr="16D0F8A3">
        <w:rPr>
          <w:rFonts w:ascii="Times New Roman" w:eastAsia="Times New Roman" w:hAnsi="Times New Roman"/>
          <w:color w:val="000000" w:themeColor="text1"/>
          <w:sz w:val="26"/>
          <w:szCs w:val="26"/>
        </w:rPr>
        <w:t xml:space="preserve">, processo SEI </w:t>
      </w:r>
      <w:r w:rsidRPr="16D0F8A3">
        <w:rPr>
          <w:rFonts w:ascii="Times New Roman" w:eastAsia="Times New Roman" w:hAnsi="Times New Roman"/>
          <w:b/>
          <w:bCs/>
          <w:color w:val="000000" w:themeColor="text1"/>
          <w:sz w:val="26"/>
          <w:szCs w:val="26"/>
        </w:rPr>
        <w:t>0034117-87.2019.4.03.8000</w:t>
      </w:r>
      <w:r w:rsidRPr="16D0F8A3">
        <w:rPr>
          <w:rFonts w:ascii="Times New Roman" w:eastAsia="Times New Roman" w:hAnsi="Times New Roman"/>
          <w:color w:val="000000" w:themeColor="text1"/>
          <w:sz w:val="26"/>
          <w:szCs w:val="26"/>
        </w:rPr>
        <w:t>, a Diretora da Divisão de Folha de Pagamento, então em exercício, prestou a Informação nº 5054608/2019 – DFOL, após provocação do Tribunal de Contas da União; nela, considerou que o TRF3 está em conformidade com o entendimento do Conselho da Justiça Federal, sendo que os servidores não recebem GAE cumulada com VPNI de cargo em comissão ou função comissionada, mas decorrente da incorporação dos quintos e, devido a isso, o sistema está regular, tanto para os servidores ativos como os inativos.</w:t>
      </w:r>
    </w:p>
    <w:p w14:paraId="63D93BA2" w14:textId="12251E65" w:rsidR="0D1069A5" w:rsidRDefault="0D1069A5" w:rsidP="16D0F8A3">
      <w:pPr>
        <w:spacing w:after="0" w:line="240" w:lineRule="auto"/>
        <w:ind w:firstLine="1701"/>
        <w:jc w:val="both"/>
        <w:rPr>
          <w:rFonts w:ascii="Times New Roman" w:eastAsia="Times New Roman" w:hAnsi="Times New Roman"/>
          <w:sz w:val="26"/>
          <w:szCs w:val="26"/>
        </w:rPr>
      </w:pPr>
    </w:p>
    <w:p w14:paraId="5330ECD8" w14:textId="2499A03C" w:rsidR="63C1004F" w:rsidRDefault="0049716F" w:rsidP="3A9B58FE">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b/>
          <w:bCs/>
          <w:color w:val="000000" w:themeColor="text1"/>
          <w:sz w:val="26"/>
          <w:szCs w:val="26"/>
        </w:rPr>
        <w:t>4</w:t>
      </w:r>
      <w:r w:rsidR="63C1004F" w:rsidRPr="3A9B58FE">
        <w:rPr>
          <w:rFonts w:ascii="Times New Roman" w:eastAsia="Times New Roman" w:hAnsi="Times New Roman"/>
          <w:b/>
          <w:bCs/>
          <w:color w:val="000000" w:themeColor="text1"/>
          <w:sz w:val="26"/>
          <w:szCs w:val="26"/>
        </w:rPr>
        <w:t xml:space="preserve">. </w:t>
      </w:r>
      <w:r w:rsidR="63C1004F" w:rsidRPr="3A9B58FE">
        <w:rPr>
          <w:rFonts w:ascii="Times New Roman" w:eastAsia="Times New Roman" w:hAnsi="Times New Roman"/>
          <w:b/>
          <w:bCs/>
          <w:color w:val="000000" w:themeColor="text1"/>
          <w:sz w:val="26"/>
          <w:szCs w:val="26"/>
          <w:u w:val="single"/>
        </w:rPr>
        <w:t>PEDIDOS</w:t>
      </w:r>
    </w:p>
    <w:p w14:paraId="52D3FD56" w14:textId="59FD9156" w:rsidR="3A9B58FE" w:rsidRDefault="3A9B58FE" w:rsidP="3A9B58FE">
      <w:pPr>
        <w:spacing w:after="0" w:line="240" w:lineRule="auto"/>
        <w:ind w:firstLine="1695"/>
        <w:jc w:val="both"/>
        <w:rPr>
          <w:rFonts w:ascii="Times New Roman" w:eastAsia="Times New Roman" w:hAnsi="Times New Roman"/>
          <w:color w:val="000000" w:themeColor="text1"/>
          <w:sz w:val="26"/>
          <w:szCs w:val="26"/>
        </w:rPr>
      </w:pPr>
    </w:p>
    <w:p w14:paraId="45349C1E" w14:textId="2AF9F27B" w:rsidR="63C1004F" w:rsidRDefault="63C1004F" w:rsidP="3A9B58FE">
      <w:pPr>
        <w:spacing w:after="0" w:line="240" w:lineRule="auto"/>
        <w:ind w:firstLine="1695"/>
        <w:jc w:val="both"/>
        <w:rPr>
          <w:rFonts w:ascii="Times New Roman" w:eastAsia="Times New Roman" w:hAnsi="Times New Roman"/>
          <w:color w:val="000000" w:themeColor="text1"/>
          <w:sz w:val="26"/>
          <w:szCs w:val="26"/>
        </w:rPr>
      </w:pPr>
      <w:r w:rsidRPr="3A9B58FE">
        <w:rPr>
          <w:rFonts w:ascii="Times New Roman" w:eastAsia="Times New Roman" w:hAnsi="Times New Roman"/>
          <w:b/>
          <w:bCs/>
          <w:color w:val="000000" w:themeColor="text1"/>
          <w:sz w:val="26"/>
          <w:szCs w:val="26"/>
        </w:rPr>
        <w:t>Ante o exposto</w:t>
      </w:r>
      <w:r w:rsidRPr="3A9B58FE">
        <w:rPr>
          <w:rFonts w:ascii="Times New Roman" w:eastAsia="Times New Roman" w:hAnsi="Times New Roman"/>
          <w:color w:val="000000" w:themeColor="text1"/>
          <w:sz w:val="26"/>
          <w:szCs w:val="26"/>
        </w:rPr>
        <w:t>, requer:</w:t>
      </w:r>
    </w:p>
    <w:p w14:paraId="17B4A805" w14:textId="6166EBC9" w:rsidR="3A9B58FE" w:rsidRDefault="3A9B58FE" w:rsidP="3A9B58FE">
      <w:pPr>
        <w:spacing w:after="0" w:line="240" w:lineRule="auto"/>
        <w:ind w:firstLine="1695"/>
        <w:jc w:val="both"/>
        <w:rPr>
          <w:rFonts w:ascii="Times New Roman" w:eastAsia="Times New Roman" w:hAnsi="Times New Roman"/>
          <w:color w:val="000000" w:themeColor="text1"/>
          <w:sz w:val="26"/>
          <w:szCs w:val="26"/>
        </w:rPr>
      </w:pPr>
    </w:p>
    <w:p w14:paraId="03C9B094" w14:textId="3ABB4701" w:rsidR="00C90300" w:rsidRDefault="63C1004F" w:rsidP="3A9B58FE">
      <w:pPr>
        <w:spacing w:after="0" w:line="240" w:lineRule="auto"/>
        <w:ind w:firstLine="1695"/>
        <w:jc w:val="both"/>
        <w:rPr>
          <w:rFonts w:ascii="Times New Roman" w:eastAsia="Times New Roman" w:hAnsi="Times New Roman"/>
          <w:color w:val="000000" w:themeColor="text1"/>
          <w:sz w:val="26"/>
          <w:szCs w:val="26"/>
        </w:rPr>
      </w:pPr>
      <w:r w:rsidRPr="3A9B58FE">
        <w:rPr>
          <w:rFonts w:ascii="Times New Roman" w:eastAsia="Times New Roman" w:hAnsi="Times New Roman"/>
          <w:b/>
          <w:bCs/>
          <w:color w:val="000000" w:themeColor="text1"/>
          <w:sz w:val="26"/>
          <w:szCs w:val="26"/>
        </w:rPr>
        <w:t>(a)</w:t>
      </w:r>
      <w:r w:rsidRPr="3A9B58FE">
        <w:rPr>
          <w:rFonts w:ascii="Times New Roman" w:eastAsia="Times New Roman" w:hAnsi="Times New Roman"/>
          <w:color w:val="000000" w:themeColor="text1"/>
          <w:sz w:val="26"/>
          <w:szCs w:val="26"/>
        </w:rPr>
        <w:t xml:space="preserve"> </w:t>
      </w:r>
      <w:r w:rsidR="00497BF7">
        <w:rPr>
          <w:rFonts w:ascii="Times New Roman" w:eastAsia="Times New Roman" w:hAnsi="Times New Roman"/>
          <w:color w:val="000000" w:themeColor="text1"/>
          <w:sz w:val="26"/>
          <w:szCs w:val="26"/>
        </w:rPr>
        <w:t>preliminarmente,</w:t>
      </w:r>
      <w:r w:rsidR="00CD1B74">
        <w:rPr>
          <w:rFonts w:ascii="Times New Roman" w:eastAsia="Times New Roman" w:hAnsi="Times New Roman"/>
          <w:color w:val="000000" w:themeColor="text1"/>
          <w:sz w:val="26"/>
          <w:szCs w:val="26"/>
        </w:rPr>
        <w:t xml:space="preserve"> sejam suspensos quaisquer atos tendentes a efetuar o corte da GAE ou da VPNI do</w:t>
      </w:r>
      <w:r w:rsidR="00E37BF9">
        <w:rPr>
          <w:rFonts w:ascii="Times New Roman" w:eastAsia="Times New Roman" w:hAnsi="Times New Roman"/>
          <w:color w:val="000000" w:themeColor="text1"/>
          <w:sz w:val="26"/>
          <w:szCs w:val="26"/>
        </w:rPr>
        <w:t xml:space="preserve"> interessado, vez que se encontra amparado pelas decisões judiciais proferida no </w:t>
      </w:r>
      <w:r w:rsidR="00452AFD" w:rsidRPr="00452AFD">
        <w:rPr>
          <w:rFonts w:ascii="Times New Roman" w:eastAsia="Times New Roman" w:hAnsi="Times New Roman"/>
          <w:color w:val="000000" w:themeColor="text1"/>
          <w:sz w:val="26"/>
          <w:szCs w:val="26"/>
        </w:rPr>
        <w:t>Mandado de Segurança n° 0098714-30.2017.4.02.5101 e no AI nº 0003266-07.2017.4.02.0000</w:t>
      </w:r>
      <w:r w:rsidR="00452AFD">
        <w:rPr>
          <w:rFonts w:ascii="Times New Roman" w:eastAsia="Times New Roman" w:hAnsi="Times New Roman"/>
          <w:color w:val="000000" w:themeColor="text1"/>
          <w:sz w:val="26"/>
          <w:szCs w:val="26"/>
        </w:rPr>
        <w:t>;</w:t>
      </w:r>
    </w:p>
    <w:p w14:paraId="540E6DB9" w14:textId="77777777" w:rsidR="00C90300" w:rsidRDefault="00C90300" w:rsidP="3A9B58FE">
      <w:pPr>
        <w:spacing w:after="0" w:line="240" w:lineRule="auto"/>
        <w:ind w:firstLine="1695"/>
        <w:jc w:val="both"/>
        <w:rPr>
          <w:rFonts w:ascii="Times New Roman" w:eastAsia="Times New Roman" w:hAnsi="Times New Roman"/>
          <w:color w:val="000000" w:themeColor="text1"/>
          <w:sz w:val="26"/>
          <w:szCs w:val="26"/>
        </w:rPr>
      </w:pPr>
    </w:p>
    <w:p w14:paraId="739D0F9F" w14:textId="674E1BF6" w:rsidR="63C1004F" w:rsidRDefault="00C90300" w:rsidP="3A9B58FE">
      <w:pPr>
        <w:spacing w:after="0" w:line="240" w:lineRule="auto"/>
        <w:ind w:firstLine="1695"/>
        <w:jc w:val="both"/>
        <w:rPr>
          <w:rFonts w:ascii="Times New Roman" w:eastAsia="Times New Roman" w:hAnsi="Times New Roman"/>
          <w:color w:val="000000" w:themeColor="text1"/>
          <w:sz w:val="26"/>
          <w:szCs w:val="26"/>
        </w:rPr>
      </w:pPr>
      <w:r w:rsidRPr="00C90300">
        <w:rPr>
          <w:rFonts w:ascii="Times New Roman" w:eastAsia="Times New Roman" w:hAnsi="Times New Roman"/>
          <w:b/>
          <w:bCs/>
          <w:color w:val="000000" w:themeColor="text1"/>
          <w:sz w:val="26"/>
          <w:szCs w:val="26"/>
        </w:rPr>
        <w:t>(b)</w:t>
      </w:r>
      <w:r w:rsidR="00452AFD">
        <w:rPr>
          <w:rFonts w:ascii="Times New Roman" w:eastAsia="Times New Roman" w:hAnsi="Times New Roman"/>
          <w:color w:val="000000" w:themeColor="text1"/>
          <w:sz w:val="26"/>
          <w:szCs w:val="26"/>
        </w:rPr>
        <w:t xml:space="preserve"> </w:t>
      </w:r>
      <w:r w:rsidR="63C1004F" w:rsidRPr="3A9B58FE">
        <w:rPr>
          <w:rFonts w:ascii="Times New Roman" w:eastAsia="Times New Roman" w:hAnsi="Times New Roman"/>
          <w:color w:val="000000" w:themeColor="text1"/>
          <w:sz w:val="26"/>
          <w:szCs w:val="26"/>
        </w:rPr>
        <w:t>seja mantido o recebimento cumulado da Gratificação de Atividade Externa – GAE e da Vantagem Pessoal Nominalmente Identificada – VPNI, devendo a Administração restituir em contracheque eventuais parcelas suprimidas;</w:t>
      </w:r>
    </w:p>
    <w:p w14:paraId="42B28D34" w14:textId="71D08167" w:rsidR="3A9B58FE" w:rsidRDefault="3A9B58FE" w:rsidP="3A9B58FE">
      <w:pPr>
        <w:spacing w:after="0" w:line="240" w:lineRule="auto"/>
        <w:ind w:firstLine="1695"/>
        <w:jc w:val="both"/>
        <w:rPr>
          <w:rFonts w:ascii="Times New Roman" w:eastAsia="Times New Roman" w:hAnsi="Times New Roman"/>
          <w:color w:val="000000" w:themeColor="text1"/>
          <w:sz w:val="26"/>
          <w:szCs w:val="26"/>
        </w:rPr>
      </w:pPr>
    </w:p>
    <w:p w14:paraId="6B627DFB" w14:textId="162E81FC" w:rsidR="63C1004F" w:rsidRDefault="63C1004F" w:rsidP="373D5F8C">
      <w:pPr>
        <w:spacing w:after="0" w:line="240" w:lineRule="auto"/>
        <w:ind w:firstLine="1695"/>
        <w:jc w:val="both"/>
        <w:rPr>
          <w:rFonts w:ascii="Times New Roman" w:eastAsia="Times New Roman" w:hAnsi="Times New Roman"/>
          <w:color w:val="000000" w:themeColor="text1"/>
          <w:sz w:val="26"/>
          <w:szCs w:val="26"/>
        </w:rPr>
      </w:pPr>
      <w:r w:rsidRPr="373D5F8C">
        <w:rPr>
          <w:rFonts w:ascii="Times New Roman" w:eastAsia="Times New Roman" w:hAnsi="Times New Roman"/>
          <w:b/>
          <w:bCs/>
          <w:color w:val="000000" w:themeColor="text1"/>
          <w:sz w:val="26"/>
          <w:szCs w:val="26"/>
        </w:rPr>
        <w:lastRenderedPageBreak/>
        <w:t>(</w:t>
      </w:r>
      <w:r w:rsidR="00C90300">
        <w:rPr>
          <w:rFonts w:ascii="Times New Roman" w:eastAsia="Times New Roman" w:hAnsi="Times New Roman"/>
          <w:b/>
          <w:bCs/>
          <w:color w:val="000000" w:themeColor="text1"/>
          <w:sz w:val="26"/>
          <w:szCs w:val="26"/>
        </w:rPr>
        <w:t>c</w:t>
      </w:r>
      <w:r w:rsidRPr="373D5F8C">
        <w:rPr>
          <w:rFonts w:ascii="Times New Roman" w:eastAsia="Times New Roman" w:hAnsi="Times New Roman"/>
          <w:b/>
          <w:bCs/>
          <w:color w:val="000000" w:themeColor="text1"/>
          <w:sz w:val="26"/>
          <w:szCs w:val="26"/>
        </w:rPr>
        <w:t>)</w:t>
      </w:r>
      <w:r w:rsidRPr="373D5F8C">
        <w:rPr>
          <w:rFonts w:ascii="Times New Roman" w:eastAsia="Times New Roman" w:hAnsi="Times New Roman"/>
          <w:color w:val="000000" w:themeColor="text1"/>
          <w:sz w:val="26"/>
          <w:szCs w:val="26"/>
        </w:rPr>
        <w:t xml:space="preserve"> sucessivamente, a transformação da Vantagem Pessoal Nominalmente Identificada - VPNI em parcela compensatória a ser absorvida pelos reajustes futuros, com base no entendimento do Tribunal de Contas da União, sem a retroação, conforme fundamentado</w:t>
      </w:r>
      <w:r w:rsidR="2EEA48E3" w:rsidRPr="373D5F8C">
        <w:rPr>
          <w:rFonts w:ascii="Times New Roman" w:eastAsia="Times New Roman" w:hAnsi="Times New Roman"/>
          <w:color w:val="000000" w:themeColor="text1"/>
          <w:sz w:val="26"/>
          <w:szCs w:val="26"/>
        </w:rPr>
        <w:t>;</w:t>
      </w:r>
    </w:p>
    <w:p w14:paraId="10B6B314" w14:textId="6D211813" w:rsidR="373D5F8C" w:rsidRDefault="373D5F8C" w:rsidP="373D5F8C">
      <w:pPr>
        <w:spacing w:after="0" w:line="240" w:lineRule="auto"/>
        <w:ind w:firstLine="1695"/>
        <w:jc w:val="both"/>
        <w:rPr>
          <w:rFonts w:ascii="Times New Roman" w:eastAsia="Times New Roman" w:hAnsi="Times New Roman"/>
          <w:color w:val="000000" w:themeColor="text1"/>
          <w:sz w:val="26"/>
          <w:szCs w:val="26"/>
        </w:rPr>
      </w:pPr>
    </w:p>
    <w:p w14:paraId="4A82AE3F" w14:textId="7879DF99" w:rsidR="2EEA48E3" w:rsidRDefault="2EEA48E3" w:rsidP="373D5F8C">
      <w:pPr>
        <w:spacing w:after="0" w:line="240" w:lineRule="auto"/>
        <w:ind w:firstLine="1695"/>
        <w:jc w:val="both"/>
        <w:rPr>
          <w:rFonts w:ascii="Times New Roman" w:eastAsia="Times New Roman" w:hAnsi="Times New Roman"/>
          <w:color w:val="000000" w:themeColor="text1"/>
          <w:sz w:val="26"/>
          <w:szCs w:val="26"/>
        </w:rPr>
      </w:pPr>
      <w:r w:rsidRPr="373D5F8C">
        <w:rPr>
          <w:rFonts w:ascii="Times New Roman" w:eastAsia="Times New Roman" w:hAnsi="Times New Roman"/>
          <w:b/>
          <w:bCs/>
          <w:color w:val="000000" w:themeColor="text1"/>
          <w:sz w:val="25"/>
          <w:szCs w:val="25"/>
        </w:rPr>
        <w:t>(</w:t>
      </w:r>
      <w:r w:rsidR="00C90300">
        <w:rPr>
          <w:rFonts w:ascii="Times New Roman" w:eastAsia="Times New Roman" w:hAnsi="Times New Roman"/>
          <w:b/>
          <w:bCs/>
          <w:color w:val="000000" w:themeColor="text1"/>
          <w:sz w:val="25"/>
          <w:szCs w:val="25"/>
        </w:rPr>
        <w:t>d</w:t>
      </w:r>
      <w:r w:rsidRPr="373D5F8C">
        <w:rPr>
          <w:rFonts w:ascii="Times New Roman" w:eastAsia="Times New Roman" w:hAnsi="Times New Roman"/>
          <w:b/>
          <w:bCs/>
          <w:color w:val="000000" w:themeColor="text1"/>
          <w:sz w:val="25"/>
          <w:szCs w:val="25"/>
        </w:rPr>
        <w:t>)</w:t>
      </w:r>
      <w:r w:rsidRPr="373D5F8C">
        <w:rPr>
          <w:rFonts w:ascii="Times New Roman" w:eastAsia="Times New Roman" w:hAnsi="Times New Roman"/>
          <w:color w:val="000000" w:themeColor="text1"/>
          <w:sz w:val="26"/>
          <w:szCs w:val="26"/>
        </w:rPr>
        <w:t xml:space="preserve"> </w:t>
      </w:r>
      <w:r w:rsidRPr="373D5F8C">
        <w:rPr>
          <w:rFonts w:ascii="Times New Roman" w:eastAsia="Times New Roman" w:hAnsi="Times New Roman"/>
          <w:color w:val="000000" w:themeColor="text1"/>
          <w:sz w:val="26"/>
          <w:szCs w:val="26"/>
          <w:u w:val="single"/>
        </w:rPr>
        <w:t>em qualquer hipótese</w:t>
      </w:r>
      <w:r w:rsidRPr="373D5F8C">
        <w:rPr>
          <w:rFonts w:ascii="Times New Roman" w:eastAsia="Times New Roman" w:hAnsi="Times New Roman"/>
          <w:color w:val="000000" w:themeColor="text1"/>
          <w:sz w:val="26"/>
          <w:szCs w:val="26"/>
        </w:rPr>
        <w:t xml:space="preserve">, diante do que prevê o artigo 246 do Regimento Interno do Tribunal de Contas da União, considerando que há processo de representação aberto, relacionado a este tribunal (Processo TCU nº 036.450/2020-0, pede a </w:t>
      </w:r>
      <w:r w:rsidRPr="373D5F8C">
        <w:rPr>
          <w:rFonts w:ascii="Times New Roman" w:eastAsia="Times New Roman" w:hAnsi="Times New Roman"/>
          <w:b/>
          <w:bCs/>
          <w:color w:val="000000" w:themeColor="text1"/>
          <w:sz w:val="26"/>
          <w:szCs w:val="26"/>
          <w:u w:val="single"/>
        </w:rPr>
        <w:t>SUSPENSÃO</w:t>
      </w:r>
      <w:r w:rsidRPr="373D5F8C">
        <w:rPr>
          <w:rFonts w:ascii="Times New Roman" w:eastAsia="Times New Roman" w:hAnsi="Times New Roman"/>
          <w:color w:val="000000" w:themeColor="text1"/>
          <w:sz w:val="26"/>
          <w:szCs w:val="26"/>
        </w:rPr>
        <w:t xml:space="preserve"> deste processo administrativo até que o TCU decida a matéria e determine as medidas administrativas adequadas.</w:t>
      </w:r>
    </w:p>
    <w:p w14:paraId="3FB9D6CD" w14:textId="17E6B4DE" w:rsidR="373D5F8C" w:rsidRDefault="373D5F8C" w:rsidP="373D5F8C">
      <w:pPr>
        <w:spacing w:after="0" w:line="240" w:lineRule="auto"/>
        <w:ind w:firstLine="1695"/>
        <w:jc w:val="both"/>
        <w:rPr>
          <w:rFonts w:ascii="Times New Roman" w:eastAsia="Times New Roman" w:hAnsi="Times New Roman"/>
          <w:color w:val="000000" w:themeColor="text1"/>
          <w:sz w:val="26"/>
          <w:szCs w:val="26"/>
        </w:rPr>
      </w:pPr>
    </w:p>
    <w:p w14:paraId="22E19FFF" w14:textId="6061F7D4" w:rsidR="373D5F8C" w:rsidRDefault="373D5F8C" w:rsidP="373D5F8C">
      <w:pPr>
        <w:spacing w:after="0" w:line="240" w:lineRule="auto"/>
        <w:ind w:firstLine="1695"/>
        <w:jc w:val="both"/>
        <w:rPr>
          <w:rFonts w:ascii="Times New Roman" w:eastAsia="Times New Roman" w:hAnsi="Times New Roman"/>
          <w:color w:val="000000" w:themeColor="text1"/>
          <w:sz w:val="26"/>
          <w:szCs w:val="26"/>
        </w:rPr>
      </w:pPr>
    </w:p>
    <w:p w14:paraId="7D9747C7" w14:textId="6C625B3A" w:rsidR="63C1004F" w:rsidRDefault="63C1004F" w:rsidP="3A9B58FE">
      <w:pPr>
        <w:spacing w:after="0" w:line="240" w:lineRule="auto"/>
        <w:ind w:firstLine="1695"/>
        <w:jc w:val="both"/>
        <w:rPr>
          <w:rFonts w:ascii="Times New Roman" w:eastAsia="Times New Roman" w:hAnsi="Times New Roman"/>
          <w:color w:val="000000" w:themeColor="text1"/>
          <w:sz w:val="26"/>
          <w:szCs w:val="26"/>
        </w:rPr>
      </w:pPr>
      <w:r w:rsidRPr="3A9B58FE">
        <w:rPr>
          <w:rFonts w:ascii="Times New Roman" w:eastAsia="Times New Roman" w:hAnsi="Times New Roman"/>
          <w:color w:val="000000" w:themeColor="text1"/>
          <w:sz w:val="26"/>
          <w:szCs w:val="26"/>
        </w:rPr>
        <w:t>[</w:t>
      </w:r>
      <w:r w:rsidRPr="3A9B58FE">
        <w:rPr>
          <w:rFonts w:ascii="Times New Roman" w:eastAsia="Times New Roman" w:hAnsi="Times New Roman"/>
          <w:color w:val="000000" w:themeColor="text1"/>
          <w:sz w:val="26"/>
          <w:szCs w:val="26"/>
          <w:highlight w:val="yellow"/>
        </w:rPr>
        <w:t>Cidade</w:t>
      </w:r>
      <w:r w:rsidRPr="3A9B58FE">
        <w:rPr>
          <w:rFonts w:ascii="Times New Roman" w:eastAsia="Times New Roman" w:hAnsi="Times New Roman"/>
          <w:color w:val="000000" w:themeColor="text1"/>
          <w:sz w:val="26"/>
          <w:szCs w:val="26"/>
        </w:rPr>
        <w:t>], [</w:t>
      </w:r>
      <w:r w:rsidRPr="3A9B58FE">
        <w:rPr>
          <w:rFonts w:ascii="Times New Roman" w:eastAsia="Times New Roman" w:hAnsi="Times New Roman"/>
          <w:color w:val="000000" w:themeColor="text1"/>
          <w:sz w:val="26"/>
          <w:szCs w:val="26"/>
          <w:highlight w:val="yellow"/>
        </w:rPr>
        <w:t>data</w:t>
      </w:r>
      <w:r w:rsidRPr="3A9B58FE">
        <w:rPr>
          <w:rFonts w:ascii="Times New Roman" w:eastAsia="Times New Roman" w:hAnsi="Times New Roman"/>
          <w:color w:val="000000" w:themeColor="text1"/>
          <w:sz w:val="26"/>
          <w:szCs w:val="26"/>
        </w:rPr>
        <w:t>].</w:t>
      </w:r>
    </w:p>
    <w:p w14:paraId="4758544C" w14:textId="47CEB47B" w:rsidR="3A9B58FE" w:rsidRDefault="3A9B58FE" w:rsidP="3A9B58FE">
      <w:pPr>
        <w:spacing w:after="0" w:line="240" w:lineRule="auto"/>
        <w:ind w:firstLine="1701"/>
        <w:jc w:val="both"/>
        <w:rPr>
          <w:rFonts w:ascii="Times New Roman" w:eastAsia="Times New Roman" w:hAnsi="Times New Roman"/>
          <w:color w:val="000000" w:themeColor="text1"/>
          <w:sz w:val="26"/>
          <w:szCs w:val="26"/>
        </w:rPr>
      </w:pPr>
    </w:p>
    <w:p w14:paraId="6F1A2575" w14:textId="782F23FC" w:rsidR="3A9B58FE" w:rsidRDefault="3A9B58FE" w:rsidP="3A9B58FE">
      <w:pPr>
        <w:spacing w:after="0" w:line="240" w:lineRule="auto"/>
        <w:ind w:firstLine="1701"/>
        <w:jc w:val="both"/>
        <w:rPr>
          <w:rFonts w:ascii="Times New Roman" w:eastAsia="Times New Roman" w:hAnsi="Times New Roman"/>
          <w:color w:val="000000" w:themeColor="text1"/>
          <w:sz w:val="26"/>
          <w:szCs w:val="26"/>
        </w:rPr>
      </w:pPr>
    </w:p>
    <w:p w14:paraId="4BC56E06" w14:textId="1BE4EB52" w:rsidR="3A9B58FE" w:rsidRDefault="3A9B58FE" w:rsidP="3A9B58FE">
      <w:pPr>
        <w:spacing w:after="0" w:line="240" w:lineRule="auto"/>
        <w:ind w:firstLine="1701"/>
        <w:jc w:val="both"/>
        <w:rPr>
          <w:rFonts w:ascii="Times New Roman" w:eastAsia="Times New Roman" w:hAnsi="Times New Roman"/>
          <w:color w:val="000000" w:themeColor="text1"/>
          <w:sz w:val="26"/>
          <w:szCs w:val="26"/>
        </w:rPr>
      </w:pPr>
    </w:p>
    <w:p w14:paraId="187724F1" w14:textId="233C8FA9" w:rsidR="63C1004F" w:rsidRDefault="63C1004F" w:rsidP="3A9B58FE">
      <w:pPr>
        <w:spacing w:after="0" w:line="240" w:lineRule="auto"/>
        <w:ind w:firstLine="1701"/>
        <w:jc w:val="both"/>
        <w:rPr>
          <w:rFonts w:ascii="Times New Roman" w:eastAsia="Times New Roman" w:hAnsi="Times New Roman"/>
          <w:color w:val="000000" w:themeColor="text1"/>
          <w:sz w:val="26"/>
          <w:szCs w:val="26"/>
        </w:rPr>
      </w:pPr>
      <w:r w:rsidRPr="3A9B58FE">
        <w:rPr>
          <w:rFonts w:ascii="Times New Roman" w:eastAsia="Times New Roman" w:hAnsi="Times New Roman"/>
          <w:b/>
          <w:bCs/>
          <w:color w:val="000000" w:themeColor="text1"/>
          <w:sz w:val="26"/>
          <w:szCs w:val="26"/>
          <w:highlight w:val="yellow"/>
        </w:rPr>
        <w:t>NOME DO SERVIDOR</w:t>
      </w:r>
    </w:p>
    <w:p w14:paraId="72315829" w14:textId="127F8D35" w:rsidR="63C1004F" w:rsidRDefault="63C1004F" w:rsidP="3A9B58FE">
      <w:pPr>
        <w:spacing w:after="0" w:line="240" w:lineRule="auto"/>
        <w:ind w:firstLine="1701"/>
        <w:jc w:val="both"/>
        <w:rPr>
          <w:rFonts w:ascii="Times New Roman" w:eastAsia="Times New Roman" w:hAnsi="Times New Roman"/>
          <w:color w:val="000000" w:themeColor="text1"/>
          <w:sz w:val="26"/>
          <w:szCs w:val="26"/>
        </w:rPr>
      </w:pPr>
      <w:r w:rsidRPr="3A9B58FE">
        <w:rPr>
          <w:rFonts w:ascii="Times New Roman" w:eastAsia="Times New Roman" w:hAnsi="Times New Roman"/>
          <w:color w:val="000000" w:themeColor="text1"/>
          <w:sz w:val="26"/>
          <w:szCs w:val="26"/>
          <w:highlight w:val="yellow"/>
        </w:rPr>
        <w:t>Matrícula</w:t>
      </w:r>
    </w:p>
    <w:p w14:paraId="4C3191B0" w14:textId="501AE28E" w:rsidR="3A9B58FE" w:rsidRDefault="3A9B58FE" w:rsidP="3A9B58FE">
      <w:pPr>
        <w:spacing w:after="0" w:line="240" w:lineRule="auto"/>
        <w:ind w:firstLine="1701"/>
        <w:jc w:val="both"/>
        <w:rPr>
          <w:rFonts w:ascii="Times New Roman" w:hAnsi="Times New Roman"/>
          <w:sz w:val="26"/>
          <w:szCs w:val="26"/>
        </w:rPr>
      </w:pPr>
    </w:p>
    <w:sectPr w:rsidR="3A9B58FE" w:rsidSect="00384013">
      <w:headerReference w:type="default" r:id="rId11"/>
      <w:footerReference w:type="default" r:id="rId12"/>
      <w:pgSz w:w="11906" w:h="16838" w:code="9"/>
      <w:pgMar w:top="2552" w:right="1134" w:bottom="1134" w:left="198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D233" w14:textId="77777777" w:rsidR="00DD4FAD" w:rsidRDefault="00DD4FAD" w:rsidP="005F0A06">
      <w:pPr>
        <w:spacing w:after="0" w:line="240" w:lineRule="auto"/>
      </w:pPr>
      <w:r>
        <w:separator/>
      </w:r>
    </w:p>
  </w:endnote>
  <w:endnote w:type="continuationSeparator" w:id="0">
    <w:p w14:paraId="1AFEB629" w14:textId="77777777" w:rsidR="00DD4FAD" w:rsidRDefault="00DD4FAD" w:rsidP="005F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6223" w14:textId="77777777" w:rsidR="005F0A06" w:rsidRPr="005F0A06" w:rsidRDefault="005F0A06">
    <w:pPr>
      <w:pStyle w:val="Rodap"/>
      <w:jc w:val="right"/>
      <w:rPr>
        <w:sz w:val="2"/>
      </w:rPr>
    </w:pPr>
  </w:p>
  <w:p w14:paraId="1FBDD019" w14:textId="77777777" w:rsidR="005F0A06" w:rsidRPr="007A1EAB" w:rsidRDefault="005F0A06">
    <w:pPr>
      <w:pStyle w:val="Rodap"/>
      <w:jc w:val="right"/>
      <w:rPr>
        <w:rFonts w:ascii="Arial" w:hAnsi="Arial" w:cs="Arial"/>
        <w:sz w:val="20"/>
        <w:szCs w:val="20"/>
      </w:rPr>
    </w:pPr>
    <w:r w:rsidRPr="007A1EAB">
      <w:rPr>
        <w:rFonts w:ascii="Arial" w:hAnsi="Arial" w:cs="Arial"/>
        <w:bCs/>
        <w:sz w:val="20"/>
        <w:szCs w:val="20"/>
      </w:rPr>
      <w:fldChar w:fldCharType="begin"/>
    </w:r>
    <w:r w:rsidRPr="007A1EAB">
      <w:rPr>
        <w:rFonts w:ascii="Arial" w:hAnsi="Arial" w:cs="Arial"/>
        <w:bCs/>
        <w:sz w:val="20"/>
        <w:szCs w:val="20"/>
      </w:rPr>
      <w:instrText>PAGE</w:instrText>
    </w:r>
    <w:r w:rsidRPr="007A1EAB">
      <w:rPr>
        <w:rFonts w:ascii="Arial" w:hAnsi="Arial" w:cs="Arial"/>
        <w:bCs/>
        <w:sz w:val="20"/>
        <w:szCs w:val="20"/>
      </w:rPr>
      <w:fldChar w:fldCharType="separate"/>
    </w:r>
    <w:r w:rsidR="00D217FF">
      <w:rPr>
        <w:rFonts w:ascii="Arial" w:hAnsi="Arial" w:cs="Arial"/>
        <w:bCs/>
        <w:noProof/>
        <w:sz w:val="20"/>
        <w:szCs w:val="20"/>
      </w:rPr>
      <w:t>2</w:t>
    </w:r>
    <w:r w:rsidRPr="007A1EAB">
      <w:rPr>
        <w:rFonts w:ascii="Arial" w:hAnsi="Arial" w:cs="Arial"/>
        <w:bCs/>
        <w:sz w:val="20"/>
        <w:szCs w:val="20"/>
      </w:rPr>
      <w:fldChar w:fldCharType="end"/>
    </w:r>
    <w:r w:rsidRPr="007A1EAB">
      <w:rPr>
        <w:rFonts w:ascii="Arial" w:hAnsi="Arial" w:cs="Arial"/>
        <w:sz w:val="20"/>
        <w:szCs w:val="20"/>
      </w:rPr>
      <w:t xml:space="preserve"> de </w:t>
    </w:r>
    <w:r w:rsidRPr="007A1EAB">
      <w:rPr>
        <w:rFonts w:ascii="Arial" w:hAnsi="Arial" w:cs="Arial"/>
        <w:bCs/>
        <w:sz w:val="20"/>
        <w:szCs w:val="20"/>
      </w:rPr>
      <w:fldChar w:fldCharType="begin"/>
    </w:r>
    <w:r w:rsidRPr="007A1EAB">
      <w:rPr>
        <w:rFonts w:ascii="Arial" w:hAnsi="Arial" w:cs="Arial"/>
        <w:bCs/>
        <w:sz w:val="20"/>
        <w:szCs w:val="20"/>
      </w:rPr>
      <w:instrText>NUMPAGES</w:instrText>
    </w:r>
    <w:r w:rsidRPr="007A1EAB">
      <w:rPr>
        <w:rFonts w:ascii="Arial" w:hAnsi="Arial" w:cs="Arial"/>
        <w:bCs/>
        <w:sz w:val="20"/>
        <w:szCs w:val="20"/>
      </w:rPr>
      <w:fldChar w:fldCharType="separate"/>
    </w:r>
    <w:r w:rsidR="00D217FF">
      <w:rPr>
        <w:rFonts w:ascii="Arial" w:hAnsi="Arial" w:cs="Arial"/>
        <w:bCs/>
        <w:noProof/>
        <w:sz w:val="20"/>
        <w:szCs w:val="20"/>
      </w:rPr>
      <w:t>2</w:t>
    </w:r>
    <w:r w:rsidRPr="007A1EAB">
      <w:rPr>
        <w:rFonts w:ascii="Arial" w:hAnsi="Arial" w:cs="Arial"/>
        <w:bCs/>
        <w:sz w:val="20"/>
        <w:szCs w:val="20"/>
      </w:rPr>
      <w:fldChar w:fldCharType="end"/>
    </w:r>
  </w:p>
  <w:p w14:paraId="07547A01" w14:textId="77777777" w:rsidR="005F0A06" w:rsidRDefault="005F0A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79C21" w14:textId="77777777" w:rsidR="00DD4FAD" w:rsidRDefault="00DD4FAD" w:rsidP="005F0A06">
      <w:pPr>
        <w:spacing w:after="0" w:line="240" w:lineRule="auto"/>
      </w:pPr>
      <w:r>
        <w:separator/>
      </w:r>
    </w:p>
  </w:footnote>
  <w:footnote w:type="continuationSeparator" w:id="0">
    <w:p w14:paraId="2657DB30" w14:textId="77777777" w:rsidR="00DD4FAD" w:rsidRDefault="00DD4FAD" w:rsidP="005F0A06">
      <w:pPr>
        <w:spacing w:after="0" w:line="240" w:lineRule="auto"/>
      </w:pPr>
      <w:r>
        <w:continuationSeparator/>
      </w:r>
    </w:p>
  </w:footnote>
  <w:footnote w:id="1">
    <w:p w14:paraId="398A5356" w14:textId="7DB45533" w:rsidR="3A9B58FE" w:rsidRDefault="3A9B58FE" w:rsidP="0D1069A5">
      <w:pPr>
        <w:spacing w:after="0" w:line="240" w:lineRule="auto"/>
        <w:jc w:val="both"/>
      </w:pPr>
      <w:r w:rsidRPr="0D1069A5">
        <w:rPr>
          <w:rStyle w:val="Refdenotaderodap"/>
          <w:rFonts w:ascii="Arial" w:eastAsia="Arial" w:hAnsi="Arial" w:cs="Arial"/>
          <w:sz w:val="18"/>
          <w:szCs w:val="18"/>
        </w:rPr>
        <w:footnoteRef/>
      </w:r>
      <w:r w:rsidR="373D5F8C" w:rsidRPr="0D1069A5">
        <w:rPr>
          <w:rFonts w:ascii="Arial" w:eastAsia="Arial" w:hAnsi="Arial" w:cs="Arial"/>
          <w:sz w:val="18"/>
          <w:szCs w:val="18"/>
        </w:rPr>
        <w:t xml:space="preserve"> </w:t>
      </w:r>
      <w:r w:rsidR="373D5F8C" w:rsidRPr="373D5F8C">
        <w:rPr>
          <w:rFonts w:ascii="Arial" w:eastAsia="Arial" w:hAnsi="Arial" w:cs="Arial"/>
          <w:color w:val="000000" w:themeColor="text1"/>
          <w:sz w:val="18"/>
          <w:szCs w:val="18"/>
        </w:rPr>
        <w:t>Lei nº 11.416/2006: Art. 16 (...) § 2º É vedada a percepção da gratificação prevista neste artigo pelo servidor designado para o exercício de função comissionada ou nomeado para cargo em comissão.</w:t>
      </w:r>
    </w:p>
  </w:footnote>
  <w:footnote w:id="2">
    <w:p w14:paraId="6F5C0554" w14:textId="67A23B89" w:rsidR="16D0F8A3" w:rsidRDefault="16D0F8A3" w:rsidP="373D5F8C">
      <w:pPr>
        <w:pStyle w:val="Textodenotaderodap"/>
        <w:jc w:val="both"/>
        <w:rPr>
          <w:rFonts w:ascii="Arial" w:eastAsia="Arial" w:hAnsi="Arial" w:cs="Arial"/>
          <w:color w:val="000000" w:themeColor="text1"/>
          <w:lang w:val="pt-BR"/>
        </w:rPr>
      </w:pPr>
      <w:r w:rsidRPr="16D0F8A3">
        <w:rPr>
          <w:rStyle w:val="Refdenotaderodap"/>
          <w:rFonts w:ascii="Arial" w:eastAsia="Arial" w:hAnsi="Arial" w:cs="Arial"/>
          <w:sz w:val="18"/>
          <w:szCs w:val="18"/>
        </w:rPr>
        <w:footnoteRef/>
      </w:r>
      <w:r w:rsidR="373D5F8C" w:rsidRPr="16D0F8A3">
        <w:rPr>
          <w:rFonts w:ascii="Arial" w:eastAsia="Arial" w:hAnsi="Arial" w:cs="Arial"/>
          <w:sz w:val="18"/>
          <w:szCs w:val="18"/>
        </w:rPr>
        <w:t xml:space="preserve"> </w:t>
      </w:r>
      <w:r w:rsidR="373D5F8C" w:rsidRPr="373D5F8C">
        <w:rPr>
          <w:rFonts w:ascii="Arial" w:eastAsia="Arial" w:hAnsi="Arial" w:cs="Arial"/>
          <w:color w:val="000000" w:themeColor="text1"/>
          <w:sz w:val="18"/>
          <w:szCs w:val="18"/>
          <w:lang w:val="pt-BR"/>
        </w:rPr>
        <w:t>TCU, processo nº 036.450/2020-0 (representação), fonte (consulta em 29/10/2020):</w:t>
      </w:r>
    </w:p>
    <w:p w14:paraId="4A12B959" w14:textId="3111255D" w:rsidR="16D0F8A3" w:rsidRDefault="00DD4FAD" w:rsidP="373D5F8C">
      <w:pPr>
        <w:spacing w:after="0" w:line="240" w:lineRule="auto"/>
        <w:jc w:val="both"/>
        <w:rPr>
          <w:rFonts w:ascii="Arial" w:eastAsia="Arial" w:hAnsi="Arial" w:cs="Arial"/>
          <w:color w:val="000000" w:themeColor="text1"/>
          <w:sz w:val="20"/>
          <w:szCs w:val="20"/>
        </w:rPr>
      </w:pPr>
      <w:hyperlink r:id="rId1" w:anchor="/documento/processo/*/NUMEROSOMENTENUMEROS%253A3645020200/DTAUTUACAOORDENACAO%2520desc%252C%2520NUMEROCOMZEROS%2520desc/0/%2520">
        <w:r w:rsidR="373D5F8C" w:rsidRPr="373D5F8C">
          <w:rPr>
            <w:rStyle w:val="Hyperlink"/>
            <w:rFonts w:ascii="Arial" w:eastAsia="Arial" w:hAnsi="Arial" w:cs="Arial"/>
            <w:color w:val="0563C1"/>
            <w:sz w:val="18"/>
            <w:szCs w:val="18"/>
          </w:rPr>
          <w:t>https://pesquisa.apps.tcu.gov.br/#/documento/processo/*/NUMEROSOMENTENUMEROS%253A3645020200/DTAUTUACAOORDENACAO%2520desc%252C%2520NUMEROCOMZEROS%2520desc/0/%2520</w:t>
        </w:r>
      </w:hyperlink>
    </w:p>
  </w:footnote>
  <w:footnote w:id="3">
    <w:p w14:paraId="1EA57B20" w14:textId="183B40FB" w:rsidR="16D0F8A3" w:rsidRDefault="16D0F8A3" w:rsidP="373D5F8C">
      <w:pPr>
        <w:pStyle w:val="Textodenotaderodap"/>
        <w:jc w:val="both"/>
        <w:rPr>
          <w:rFonts w:ascii="Arial" w:eastAsia="Arial" w:hAnsi="Arial" w:cs="Arial"/>
          <w:color w:val="000000" w:themeColor="text1"/>
          <w:sz w:val="18"/>
          <w:szCs w:val="18"/>
          <w:lang w:val="pt-BR"/>
        </w:rPr>
      </w:pPr>
      <w:r w:rsidRPr="16D0F8A3">
        <w:rPr>
          <w:rStyle w:val="Refdenotaderodap"/>
          <w:rFonts w:ascii="Arial" w:eastAsia="Arial" w:hAnsi="Arial" w:cs="Arial"/>
          <w:sz w:val="18"/>
          <w:szCs w:val="18"/>
        </w:rPr>
        <w:footnoteRef/>
      </w:r>
      <w:r w:rsidR="373D5F8C" w:rsidRPr="16D0F8A3">
        <w:rPr>
          <w:rFonts w:ascii="Arial" w:eastAsia="Arial" w:hAnsi="Arial" w:cs="Arial"/>
          <w:sz w:val="18"/>
          <w:szCs w:val="18"/>
        </w:rPr>
        <w:t xml:space="preserve"> </w:t>
      </w:r>
      <w:r w:rsidR="373D5F8C" w:rsidRPr="373D5F8C">
        <w:rPr>
          <w:rFonts w:ascii="Arial" w:eastAsia="Arial" w:hAnsi="Arial" w:cs="Arial"/>
          <w:color w:val="000000" w:themeColor="text1"/>
          <w:sz w:val="18"/>
          <w:szCs w:val="18"/>
          <w:lang w:val="pt-BR"/>
        </w:rPr>
        <w:t>Ato Regulamentar CJF nº 641/1987: Art 1º - As atuais funções de Auxiliar I e Auxiliar II, constantes da Tabela de Gratificações de Representação de Gabinete das Secretarias das Seções Judiciárias da Justiça federal de Primeira Instância, ficam transformados em Auxiliar Especializada.  Art 2º - São criadas, na referida Tabela as seguintes funções: Oficial de Gabinete: 163, (...), Executante de Mandados: (779). Art 3º - As designações para as funções a que se referem os artigos 1º e 2º far-se-ão por atos do Diretor do Foro da respectiva Seção Judiciária, após a indicação do Juiz Federal a que estiverem subordinados os servidores, observando-se os seguintes critérios: (...)</w:t>
      </w:r>
    </w:p>
  </w:footnote>
  <w:footnote w:id="4">
    <w:p w14:paraId="400D2EDC" w14:textId="6013E29A" w:rsidR="16D0F8A3" w:rsidRDefault="16D0F8A3" w:rsidP="373D5F8C">
      <w:pPr>
        <w:spacing w:after="0" w:line="240" w:lineRule="auto"/>
        <w:jc w:val="both"/>
        <w:rPr>
          <w:rFonts w:ascii="Arial" w:eastAsia="Arial" w:hAnsi="Arial" w:cs="Arial"/>
          <w:color w:val="000000" w:themeColor="text1"/>
          <w:sz w:val="18"/>
          <w:szCs w:val="18"/>
        </w:rPr>
      </w:pPr>
      <w:r w:rsidRPr="16D0F8A3">
        <w:rPr>
          <w:rStyle w:val="Refdenotaderodap"/>
          <w:rFonts w:ascii="Arial" w:eastAsia="Arial" w:hAnsi="Arial" w:cs="Arial"/>
          <w:sz w:val="18"/>
          <w:szCs w:val="18"/>
        </w:rPr>
        <w:footnoteRef/>
      </w:r>
      <w:r w:rsidR="373D5F8C" w:rsidRPr="16D0F8A3">
        <w:rPr>
          <w:rFonts w:ascii="Arial" w:eastAsia="Arial" w:hAnsi="Arial" w:cs="Arial"/>
          <w:sz w:val="18"/>
          <w:szCs w:val="18"/>
        </w:rPr>
        <w:t xml:space="preserve"> </w:t>
      </w:r>
      <w:r w:rsidR="373D5F8C" w:rsidRPr="373D5F8C">
        <w:rPr>
          <w:rFonts w:ascii="Arial" w:eastAsia="Arial" w:hAnsi="Arial" w:cs="Arial"/>
          <w:color w:val="000000" w:themeColor="text1"/>
          <w:sz w:val="18"/>
          <w:szCs w:val="18"/>
        </w:rPr>
        <w:t>Lei 8.868/94: Art. 11. Os cargos de Grupo-Direção e Assessoramento Superiores - DAS, as Gratificações de Representação de Gabinete e as Funções Comissionadas, instituídos pela Lei nº 8.868, de 14 de abril de 1994, integrantes dos Quadros de Pessoal referido no art. 1º, ficam transformados em Função Comissionadas - FC, observadas as correlações estabelecidas no Anexo IV, resguardadas as situações individuais constituídas até a data da publicação desta Lei e assegurada aos ocupantes a contagem do tempo de serviço no cargo ou função, para efeito da incorporação de que trata o art. 15.</w:t>
      </w:r>
    </w:p>
  </w:footnote>
  <w:footnote w:id="5">
    <w:p w14:paraId="055D0506" w14:textId="42F6824F" w:rsidR="373D5F8C" w:rsidRDefault="373D5F8C" w:rsidP="373D5F8C">
      <w:pPr>
        <w:spacing w:after="0" w:line="240" w:lineRule="auto"/>
        <w:jc w:val="both"/>
      </w:pPr>
      <w:r w:rsidRPr="373D5F8C">
        <w:rPr>
          <w:rStyle w:val="Refdenotaderodap"/>
          <w:rFonts w:ascii="Arial" w:eastAsia="Arial" w:hAnsi="Arial" w:cs="Arial"/>
          <w:sz w:val="18"/>
          <w:szCs w:val="18"/>
        </w:rPr>
        <w:footnoteRef/>
      </w:r>
      <w:r w:rsidRPr="373D5F8C">
        <w:rPr>
          <w:rFonts w:ascii="Arial" w:eastAsia="Arial" w:hAnsi="Arial" w:cs="Arial"/>
          <w:sz w:val="18"/>
          <w:szCs w:val="18"/>
        </w:rPr>
        <w:t xml:space="preserve"> Lei n° 1.416/2006: </w:t>
      </w:r>
      <w:r w:rsidRPr="373D5F8C">
        <w:rPr>
          <w:rFonts w:ascii="Arial" w:eastAsia="Arial" w:hAnsi="Arial" w:cs="Arial"/>
          <w:color w:val="000000" w:themeColor="text1"/>
          <w:sz w:val="18"/>
          <w:szCs w:val="18"/>
        </w:rPr>
        <w:t>Art. 16. Fica instituída a Gratificação de Atividade Externa – GAE, devida exclusivamente aos ocupantes do cargo de Analista Judiciário referidos no § 1º do art. 4º desta Lei. (...) § 2º É vedada a percepção da gratificação prevista neste artigo pelo servidor designado para o exercício de função comissionada ou nomeado para cargo em comissão.</w:t>
      </w:r>
    </w:p>
  </w:footnote>
  <w:footnote w:id="6">
    <w:p w14:paraId="46292A54" w14:textId="6B0AF496" w:rsidR="16D0F8A3" w:rsidRDefault="16D0F8A3" w:rsidP="373D5F8C">
      <w:pPr>
        <w:spacing w:after="0" w:line="240" w:lineRule="auto"/>
        <w:jc w:val="both"/>
        <w:rPr>
          <w:rFonts w:ascii="Arial" w:eastAsia="Arial" w:hAnsi="Arial" w:cs="Arial"/>
          <w:color w:val="000000" w:themeColor="text1"/>
          <w:sz w:val="18"/>
          <w:szCs w:val="18"/>
        </w:rPr>
      </w:pPr>
      <w:r w:rsidRPr="16D0F8A3">
        <w:rPr>
          <w:rStyle w:val="Refdenotaderodap"/>
          <w:rFonts w:ascii="Arial" w:eastAsia="Arial" w:hAnsi="Arial" w:cs="Arial"/>
          <w:sz w:val="18"/>
          <w:szCs w:val="18"/>
        </w:rPr>
        <w:footnoteRef/>
      </w:r>
      <w:r w:rsidR="373D5F8C" w:rsidRPr="16D0F8A3">
        <w:rPr>
          <w:rFonts w:ascii="Arial" w:eastAsia="Arial" w:hAnsi="Arial" w:cs="Arial"/>
          <w:sz w:val="18"/>
          <w:szCs w:val="18"/>
        </w:rPr>
        <w:t xml:space="preserve"> </w:t>
      </w:r>
      <w:r w:rsidR="373D5F8C" w:rsidRPr="373D5F8C">
        <w:rPr>
          <w:rFonts w:ascii="Arial" w:eastAsia="Arial" w:hAnsi="Arial" w:cs="Arial"/>
          <w:color w:val="000000" w:themeColor="text1"/>
          <w:sz w:val="18"/>
          <w:szCs w:val="18"/>
        </w:rPr>
        <w:t>Lei 8.911, de 1994: “Art. 3º Para efeito do disposto no § 2º do art. 62 da Lei nº 8.112, de 11 de dezembro de 1990, o servidor investido em função de direção, chefia e assessoramento, ou cargo em comissão, previsto nesta Lei, incorporará à sua remuneração a importância equivalente à fração de um quinto da gratificação do cargo ou função para o qual foi designado ou nomeado, a cada doze meses de efetivo exercício, até o limite de cinco quintos. § 1º Entende-se como gratificação a ser incorporada à remuneração do servidor a parcela referente à representação e a gratificação de atividade pelo desempenho de função, quando se tratar de cargo em comissão ou função de direção, chefia e assessoramento dos Grupos: Direção e Assessoramento Superiores - DAS e Cargo de Direção - CD.”</w:t>
      </w:r>
    </w:p>
  </w:footnote>
  <w:footnote w:id="7">
    <w:p w14:paraId="17112156" w14:textId="21165AD4" w:rsidR="16D0F8A3" w:rsidRDefault="16D0F8A3" w:rsidP="373D5F8C">
      <w:pPr>
        <w:spacing w:after="0" w:line="240" w:lineRule="auto"/>
        <w:jc w:val="both"/>
        <w:rPr>
          <w:rFonts w:ascii="Arial" w:eastAsia="Arial" w:hAnsi="Arial" w:cs="Arial"/>
          <w:color w:val="000000" w:themeColor="text1"/>
          <w:sz w:val="18"/>
          <w:szCs w:val="18"/>
        </w:rPr>
      </w:pPr>
      <w:r w:rsidRPr="16D0F8A3">
        <w:rPr>
          <w:rStyle w:val="Refdenotaderodap"/>
          <w:rFonts w:ascii="Arial" w:eastAsia="Arial" w:hAnsi="Arial" w:cs="Arial"/>
          <w:sz w:val="18"/>
          <w:szCs w:val="18"/>
        </w:rPr>
        <w:footnoteRef/>
      </w:r>
      <w:r w:rsidR="373D5F8C" w:rsidRPr="16D0F8A3">
        <w:rPr>
          <w:rFonts w:ascii="Arial" w:eastAsia="Arial" w:hAnsi="Arial" w:cs="Arial"/>
          <w:sz w:val="18"/>
          <w:szCs w:val="18"/>
        </w:rPr>
        <w:t xml:space="preserve"> </w:t>
      </w:r>
      <w:r w:rsidR="373D5F8C" w:rsidRPr="373D5F8C">
        <w:rPr>
          <w:rFonts w:ascii="Arial" w:eastAsia="Arial" w:hAnsi="Arial" w:cs="Arial"/>
          <w:color w:val="000000" w:themeColor="text1"/>
          <w:sz w:val="18"/>
          <w:szCs w:val="18"/>
        </w:rPr>
        <w:t>Lei 8.112, de 1990 (redação original): “Art. 62. Ao servidor investido em função de direção, chefia ou assessoramento é devida uma gratificação pelo seu exercício. § 1° Os percentuais de gratificação serão estabelecidos em lei, em ordem decrescente, a partir dos limites estabelecidos no art. 42. § 2º A gratificação prevista neste artigo incorpora-se à remuneração do servidor e integra o provento da aposentadoria, na proporção de 1/5 (um quinto) por ano de exercício na função de direção, chefia ou assessoramento, até o limite de 5 (cinco) quintos.”</w:t>
      </w:r>
    </w:p>
  </w:footnote>
  <w:footnote w:id="8">
    <w:p w14:paraId="2F56CBB9" w14:textId="6EB561C3" w:rsidR="16D0F8A3" w:rsidRDefault="16D0F8A3" w:rsidP="373D5F8C">
      <w:pPr>
        <w:spacing w:after="0" w:line="240" w:lineRule="auto"/>
        <w:jc w:val="both"/>
        <w:rPr>
          <w:rFonts w:ascii="Arial" w:eastAsia="Arial" w:hAnsi="Arial" w:cs="Arial"/>
          <w:color w:val="000000" w:themeColor="text1"/>
          <w:sz w:val="18"/>
          <w:szCs w:val="18"/>
        </w:rPr>
      </w:pPr>
      <w:r w:rsidRPr="16D0F8A3">
        <w:rPr>
          <w:rStyle w:val="Refdenotaderodap"/>
          <w:rFonts w:ascii="Arial" w:eastAsia="Arial" w:hAnsi="Arial" w:cs="Arial"/>
          <w:sz w:val="18"/>
          <w:szCs w:val="18"/>
        </w:rPr>
        <w:footnoteRef/>
      </w:r>
      <w:r w:rsidR="373D5F8C" w:rsidRPr="16D0F8A3">
        <w:rPr>
          <w:rFonts w:ascii="Arial" w:eastAsia="Arial" w:hAnsi="Arial" w:cs="Arial"/>
          <w:sz w:val="18"/>
          <w:szCs w:val="18"/>
        </w:rPr>
        <w:t xml:space="preserve"> </w:t>
      </w:r>
      <w:r w:rsidR="373D5F8C" w:rsidRPr="373D5F8C">
        <w:rPr>
          <w:rFonts w:ascii="Arial" w:eastAsia="Arial" w:hAnsi="Arial" w:cs="Arial"/>
          <w:color w:val="000000" w:themeColor="text1"/>
          <w:sz w:val="18"/>
          <w:szCs w:val="18"/>
        </w:rPr>
        <w:t>Lei 9.421, de 1996: “Art. 15. Aos servidores das carreiras judiciárias, ocupantes de Função Comissionada, aplica-se a legislação geral de incorporação de parcela mensal da remuneração de cargo em comissão ou função de confiança. § 1° A incorporação a que tenham direito os integrantes das carreiras judiciárias, pelo exercício de cargo em comissão ou função de confiança em outro órgão ou entidade da Administração Pública Federal direta, autárquica ou fundacional, terá por referência a Função Comissionada de valor igual ou imediatamente superior ao do cargo ou função exercida.”</w:t>
      </w:r>
    </w:p>
  </w:footnote>
  <w:footnote w:id="9">
    <w:p w14:paraId="41A19E26" w14:textId="3A333472" w:rsidR="16D0F8A3" w:rsidRDefault="16D0F8A3" w:rsidP="373D5F8C">
      <w:pPr>
        <w:spacing w:after="0" w:line="240" w:lineRule="auto"/>
        <w:jc w:val="both"/>
        <w:rPr>
          <w:rFonts w:ascii="Arial" w:eastAsia="Arial" w:hAnsi="Arial" w:cs="Arial"/>
          <w:color w:val="000000" w:themeColor="text1"/>
          <w:sz w:val="18"/>
          <w:szCs w:val="18"/>
        </w:rPr>
      </w:pPr>
      <w:r w:rsidRPr="16D0F8A3">
        <w:rPr>
          <w:rStyle w:val="Refdenotaderodap"/>
          <w:rFonts w:ascii="Arial" w:eastAsia="Arial" w:hAnsi="Arial" w:cs="Arial"/>
          <w:sz w:val="18"/>
          <w:szCs w:val="18"/>
        </w:rPr>
        <w:footnoteRef/>
      </w:r>
      <w:r w:rsidR="373D5F8C" w:rsidRPr="16D0F8A3">
        <w:rPr>
          <w:rFonts w:ascii="Arial" w:eastAsia="Arial" w:hAnsi="Arial" w:cs="Arial"/>
          <w:sz w:val="18"/>
          <w:szCs w:val="18"/>
        </w:rPr>
        <w:t xml:space="preserve"> </w:t>
      </w:r>
      <w:r w:rsidR="373D5F8C" w:rsidRPr="373D5F8C">
        <w:rPr>
          <w:rFonts w:ascii="Arial" w:eastAsia="Arial" w:hAnsi="Arial" w:cs="Arial"/>
          <w:color w:val="000000" w:themeColor="text1"/>
          <w:sz w:val="18"/>
          <w:szCs w:val="18"/>
        </w:rPr>
        <w:t>Constituição Federal: “Art. 5º (...) II - ninguém será obrigado a fazer ou deixar de fazer alguma coisa senão em virtude de lei; (...) Art. 37. A administração pública direta e indireta de qualquer dos Poderes da União, dos Estados, do Distrito Federal e dos Municípios obedecerá aos princípios de legalidade, impessoalidade, moralidade, publicidade e eficiência e, também, ao seguinte:”</w:t>
      </w:r>
    </w:p>
  </w:footnote>
  <w:footnote w:id="10">
    <w:p w14:paraId="05276090" w14:textId="5D828404" w:rsidR="16D0F8A3" w:rsidRDefault="16D0F8A3" w:rsidP="16D0F8A3">
      <w:pPr>
        <w:spacing w:after="0" w:line="240" w:lineRule="auto"/>
        <w:jc w:val="both"/>
      </w:pPr>
      <w:r w:rsidRPr="16D0F8A3">
        <w:rPr>
          <w:rStyle w:val="Refdenotaderodap"/>
          <w:rFonts w:ascii="Arial" w:eastAsia="Arial" w:hAnsi="Arial" w:cs="Arial"/>
          <w:sz w:val="18"/>
          <w:szCs w:val="18"/>
        </w:rPr>
        <w:footnoteRef/>
      </w:r>
      <w:r w:rsidR="373D5F8C" w:rsidRPr="16D0F8A3">
        <w:rPr>
          <w:rFonts w:ascii="Arial" w:eastAsia="Arial" w:hAnsi="Arial" w:cs="Arial"/>
          <w:sz w:val="18"/>
          <w:szCs w:val="18"/>
        </w:rPr>
        <w:t xml:space="preserve"> </w:t>
      </w:r>
      <w:r w:rsidR="373D5F8C" w:rsidRPr="373D5F8C">
        <w:rPr>
          <w:rFonts w:ascii="Arial" w:eastAsia="Arial" w:hAnsi="Arial" w:cs="Arial"/>
          <w:color w:val="000000" w:themeColor="text1"/>
          <w:sz w:val="18"/>
          <w:szCs w:val="18"/>
        </w:rPr>
        <w:t>CJF – Proc. 0005894.06.2019.4.90.8000</w:t>
      </w:r>
    </w:p>
  </w:footnote>
  <w:footnote w:id="11">
    <w:p w14:paraId="0A46979D" w14:textId="0F27549B" w:rsidR="16D0F8A3" w:rsidRDefault="16D0F8A3" w:rsidP="373D5F8C">
      <w:pPr>
        <w:spacing w:after="0" w:line="240" w:lineRule="auto"/>
        <w:jc w:val="both"/>
        <w:rPr>
          <w:rFonts w:ascii="Arial" w:eastAsia="Arial" w:hAnsi="Arial" w:cs="Arial"/>
          <w:color w:val="000000" w:themeColor="text1"/>
          <w:sz w:val="18"/>
          <w:szCs w:val="18"/>
        </w:rPr>
      </w:pPr>
      <w:r w:rsidRPr="16D0F8A3">
        <w:rPr>
          <w:rStyle w:val="Refdenotaderodap"/>
          <w:rFonts w:ascii="Arial" w:eastAsia="Arial" w:hAnsi="Arial" w:cs="Arial"/>
          <w:sz w:val="18"/>
          <w:szCs w:val="18"/>
        </w:rPr>
        <w:footnoteRef/>
      </w:r>
      <w:r w:rsidR="373D5F8C" w:rsidRPr="16D0F8A3">
        <w:rPr>
          <w:rFonts w:ascii="Arial" w:eastAsia="Arial" w:hAnsi="Arial" w:cs="Arial"/>
          <w:sz w:val="18"/>
          <w:szCs w:val="18"/>
        </w:rPr>
        <w:t xml:space="preserve"> </w:t>
      </w:r>
      <w:r w:rsidR="373D5F8C" w:rsidRPr="373D5F8C">
        <w:rPr>
          <w:rFonts w:ascii="Arial" w:eastAsia="Arial" w:hAnsi="Arial" w:cs="Arial"/>
          <w:color w:val="000000" w:themeColor="text1"/>
          <w:sz w:val="18"/>
          <w:szCs w:val="18"/>
        </w:rPr>
        <w:t>Constituição da República: Art. 40. (...) § 12. Além do disposto neste artigo, serão observados, em regime próprio de previdência social, no que couber, os requisitos e critérios fixados para o Regime Geral de Previdência Social. (...) Art. 201. (...) § 11. Os ganhos habituais do empregado, a qualquer título, serão incorporados ao salário para efeito de contribuição previdenciária e conseqüente repercussão em benefícios, nos casos e na forma da lei.</w:t>
      </w:r>
    </w:p>
  </w:footnote>
  <w:footnote w:id="12">
    <w:p w14:paraId="00EDCC21" w14:textId="711E1778" w:rsidR="16D0F8A3" w:rsidRDefault="16D0F8A3" w:rsidP="373D5F8C">
      <w:pPr>
        <w:spacing w:after="0" w:line="240" w:lineRule="auto"/>
        <w:jc w:val="both"/>
        <w:rPr>
          <w:rFonts w:ascii="Arial" w:eastAsia="Arial" w:hAnsi="Arial" w:cs="Arial"/>
          <w:color w:val="000000" w:themeColor="text1"/>
          <w:sz w:val="18"/>
          <w:szCs w:val="18"/>
        </w:rPr>
      </w:pPr>
      <w:r w:rsidRPr="16D0F8A3">
        <w:rPr>
          <w:rStyle w:val="Refdenotaderodap"/>
          <w:rFonts w:ascii="Arial" w:eastAsia="Arial" w:hAnsi="Arial" w:cs="Arial"/>
          <w:sz w:val="18"/>
          <w:szCs w:val="18"/>
        </w:rPr>
        <w:footnoteRef/>
      </w:r>
      <w:r w:rsidR="373D5F8C" w:rsidRPr="16D0F8A3">
        <w:rPr>
          <w:rFonts w:ascii="Arial" w:eastAsia="Arial" w:hAnsi="Arial" w:cs="Arial"/>
          <w:sz w:val="18"/>
          <w:szCs w:val="18"/>
        </w:rPr>
        <w:t xml:space="preserve"> </w:t>
      </w:r>
      <w:r w:rsidR="373D5F8C" w:rsidRPr="373D5F8C">
        <w:rPr>
          <w:rFonts w:ascii="Arial" w:eastAsia="Arial" w:hAnsi="Arial" w:cs="Arial"/>
          <w:color w:val="000000" w:themeColor="text1"/>
          <w:sz w:val="18"/>
          <w:szCs w:val="18"/>
        </w:rPr>
        <w:t>ADMINISTRATIVO. SERVIDOR PÚBLICO. OFICIAL DE JUSTIÇAAVALIADOR. JUSTIÇA DO TRABALHO. GRATIFICAÇÃO DE EXECUTANTE DE MANDADOS. EXTENSÃO ATO REGULAMENTAR 641/87-CJF. A Gratificação de Executante de Mandados não é devida automaticamente aos ocupantes do cargo de Oficial de Justiça-Avaliador, ficando seu exercício condicionado à indicação da chefia, tratando-se, portanto, de ato discricionário da Administração. Inviável a extensão do Ato Regulamentar nº 641/87 expedido pelo Conselho da Justiça Federal, por meio do qual foram criadas as Gratificações de Executante de Mandados no âmbito da Justiça Federal, para os servidores da Justiça do Trabalho. Prequestionamento quanto à legislação invocada estabelecido pelas razões de decidir. Apelação improvida. (TRF4, AC 2003.71.00.070778-2, TERCEIRA TURMA, Relator NICOLAU KONKEL JÚNIOR, D.E. 19/08/2009)</w:t>
      </w:r>
    </w:p>
  </w:footnote>
  <w:footnote w:id="13">
    <w:p w14:paraId="1027E227" w14:textId="259B4B3A" w:rsidR="16D0F8A3" w:rsidRDefault="16D0F8A3" w:rsidP="373D5F8C">
      <w:pPr>
        <w:spacing w:after="0" w:line="240" w:lineRule="auto"/>
        <w:jc w:val="both"/>
        <w:rPr>
          <w:rFonts w:ascii="Arial" w:eastAsia="Arial" w:hAnsi="Arial" w:cs="Arial"/>
          <w:color w:val="000000" w:themeColor="text1"/>
          <w:sz w:val="18"/>
          <w:szCs w:val="18"/>
        </w:rPr>
      </w:pPr>
      <w:r w:rsidRPr="16D0F8A3">
        <w:rPr>
          <w:rStyle w:val="Refdenotaderodap"/>
          <w:rFonts w:ascii="Arial" w:eastAsia="Arial" w:hAnsi="Arial" w:cs="Arial"/>
          <w:sz w:val="18"/>
          <w:szCs w:val="18"/>
        </w:rPr>
        <w:footnoteRef/>
      </w:r>
      <w:r w:rsidR="373D5F8C" w:rsidRPr="16D0F8A3">
        <w:rPr>
          <w:rFonts w:ascii="Arial" w:eastAsia="Arial" w:hAnsi="Arial" w:cs="Arial"/>
          <w:sz w:val="18"/>
          <w:szCs w:val="18"/>
        </w:rPr>
        <w:t xml:space="preserve"> </w:t>
      </w:r>
      <w:r w:rsidR="373D5F8C" w:rsidRPr="373D5F8C">
        <w:rPr>
          <w:rFonts w:ascii="Arial" w:eastAsia="Arial" w:hAnsi="Arial" w:cs="Arial"/>
          <w:color w:val="000000" w:themeColor="text1"/>
          <w:sz w:val="18"/>
          <w:szCs w:val="18"/>
        </w:rPr>
        <w:t xml:space="preserve">A </w:t>
      </w:r>
      <w:r w:rsidR="373D5F8C" w:rsidRPr="373D5F8C">
        <w:rPr>
          <w:rFonts w:ascii="Arial" w:eastAsia="Arial" w:hAnsi="Arial" w:cs="Arial"/>
          <w:b/>
          <w:bCs/>
          <w:color w:val="000000" w:themeColor="text1"/>
          <w:sz w:val="18"/>
          <w:szCs w:val="18"/>
        </w:rPr>
        <w:t>vantagem pessoal</w:t>
      </w:r>
      <w:r w:rsidR="373D5F8C" w:rsidRPr="373D5F8C">
        <w:rPr>
          <w:rFonts w:ascii="Arial" w:eastAsia="Arial" w:hAnsi="Arial" w:cs="Arial"/>
          <w:color w:val="000000" w:themeColor="text1"/>
          <w:sz w:val="18"/>
          <w:szCs w:val="18"/>
        </w:rPr>
        <w:t xml:space="preserve">, regularmente apostilada pelo exercício do cargo em comissão, </w:t>
      </w:r>
      <w:r w:rsidR="373D5F8C" w:rsidRPr="373D5F8C">
        <w:rPr>
          <w:rFonts w:ascii="Arial" w:eastAsia="Arial" w:hAnsi="Arial" w:cs="Arial"/>
          <w:b/>
          <w:bCs/>
          <w:color w:val="000000" w:themeColor="text1"/>
          <w:sz w:val="18"/>
          <w:szCs w:val="18"/>
        </w:rPr>
        <w:t>incorpora-se ao patrimônio do servidor, não podendo o percentual agregado ser suprimido sob pena de ofensa ao direito adquirido</w:t>
      </w:r>
      <w:r w:rsidR="373D5F8C" w:rsidRPr="373D5F8C">
        <w:rPr>
          <w:rFonts w:ascii="Arial" w:eastAsia="Arial" w:hAnsi="Arial" w:cs="Arial"/>
          <w:color w:val="000000" w:themeColor="text1"/>
          <w:sz w:val="18"/>
          <w:szCs w:val="18"/>
        </w:rPr>
        <w:t xml:space="preserve"> (Acórdão unânime da 2ª Turma do Supremo Tribunal Federal Agravo Regimental no Agravo de Instrumento 208.932-3-SC Relator: Ministro Maurício Corrêa, julgado em 21.08.2001) (grifou-se)(...) 1 - Consoante uníssona jurisprudência desta Corte Superior, através de suas 5ª e 6ª Turmas, competentes para julgar o tema (cf. entre outros, ROMS nºs 12.122/DF, 12.138/DF, 11.676/DF, 11.172/RS; e REsp nºs 254.709/DF, 396.791/DF, 275.189/DF), </w:t>
      </w:r>
      <w:r w:rsidR="373D5F8C" w:rsidRPr="373D5F8C">
        <w:rPr>
          <w:rFonts w:ascii="Arial" w:eastAsia="Arial" w:hAnsi="Arial" w:cs="Arial"/>
          <w:b/>
          <w:bCs/>
          <w:color w:val="000000" w:themeColor="text1"/>
          <w:sz w:val="18"/>
          <w:szCs w:val="18"/>
        </w:rPr>
        <w:t xml:space="preserve">os chamados "quintos", uma vez incorporados, tornam-se vantagens pessoais, não podendo mais ser retirados do patrimônio de seus beneficiários. </w:t>
      </w:r>
      <w:r w:rsidR="373D5F8C" w:rsidRPr="373D5F8C">
        <w:rPr>
          <w:rFonts w:ascii="Arial" w:eastAsia="Arial" w:hAnsi="Arial" w:cs="Arial"/>
          <w:color w:val="000000" w:themeColor="text1"/>
          <w:sz w:val="18"/>
          <w:szCs w:val="18"/>
        </w:rPr>
        <w:t>(...) (STJ. 5ª Turma, RMS nº 13.299-DF, rel. Min. Jorge Scartezzini, DJ d 13-10-03, p. 378). (grifou-se)</w:t>
      </w:r>
    </w:p>
  </w:footnote>
  <w:footnote w:id="14">
    <w:p w14:paraId="5D2B0F24" w14:textId="1D19256B" w:rsidR="16D0F8A3" w:rsidRDefault="16D0F8A3" w:rsidP="373D5F8C">
      <w:pPr>
        <w:spacing w:after="0" w:line="240" w:lineRule="auto"/>
        <w:jc w:val="both"/>
        <w:rPr>
          <w:rFonts w:ascii="Arial" w:eastAsia="Arial" w:hAnsi="Arial" w:cs="Arial"/>
          <w:color w:val="000000" w:themeColor="text1"/>
          <w:sz w:val="18"/>
          <w:szCs w:val="18"/>
        </w:rPr>
      </w:pPr>
      <w:r w:rsidRPr="16D0F8A3">
        <w:rPr>
          <w:rStyle w:val="Refdenotaderodap"/>
          <w:rFonts w:ascii="Arial" w:eastAsia="Arial" w:hAnsi="Arial" w:cs="Arial"/>
          <w:sz w:val="18"/>
          <w:szCs w:val="18"/>
        </w:rPr>
        <w:footnoteRef/>
      </w:r>
      <w:r w:rsidR="373D5F8C" w:rsidRPr="16D0F8A3">
        <w:rPr>
          <w:rFonts w:ascii="Arial" w:eastAsia="Arial" w:hAnsi="Arial" w:cs="Arial"/>
          <w:sz w:val="18"/>
          <w:szCs w:val="18"/>
        </w:rPr>
        <w:t xml:space="preserve"> </w:t>
      </w:r>
      <w:r w:rsidR="373D5F8C" w:rsidRPr="373D5F8C">
        <w:rPr>
          <w:rFonts w:ascii="Arial" w:eastAsia="Arial" w:hAnsi="Arial" w:cs="Arial"/>
          <w:color w:val="000000" w:themeColor="text1"/>
          <w:sz w:val="18"/>
          <w:szCs w:val="18"/>
        </w:rPr>
        <w:t>Conforme o constitucionalista português, “a segurança jurídica está conexionada com elementos objectivos da ordem jurídica – garantia de estabilidade jurídica, segurança de orientação e realização do direito – enquanto a proteção da confiança se prende mais com as componentes subjectivas da confiança, designadamente a calculabilidade e previsibilidade dos indivíduos em relação aos efeitos jurídicos dos actos dos poderes públicos” (CANOTILHO, J. J. Gomes. Direito constitucional e teoria da constituição, 3ª ed. Coimbra: Almedina, 1999, p. 252)</w:t>
      </w:r>
    </w:p>
  </w:footnote>
  <w:footnote w:id="15">
    <w:p w14:paraId="47045F58" w14:textId="26A182B4" w:rsidR="16D0F8A3" w:rsidRDefault="16D0F8A3" w:rsidP="16D0F8A3">
      <w:pPr>
        <w:spacing w:after="0" w:line="240" w:lineRule="auto"/>
        <w:jc w:val="both"/>
      </w:pPr>
      <w:r w:rsidRPr="16D0F8A3">
        <w:rPr>
          <w:rStyle w:val="Refdenotaderodap"/>
          <w:rFonts w:ascii="Arial" w:eastAsia="Arial" w:hAnsi="Arial" w:cs="Arial"/>
          <w:sz w:val="18"/>
          <w:szCs w:val="18"/>
        </w:rPr>
        <w:footnoteRef/>
      </w:r>
      <w:r w:rsidR="373D5F8C" w:rsidRPr="16D0F8A3">
        <w:rPr>
          <w:rFonts w:ascii="Arial" w:eastAsia="Arial" w:hAnsi="Arial" w:cs="Arial"/>
          <w:sz w:val="18"/>
          <w:szCs w:val="18"/>
        </w:rPr>
        <w:t xml:space="preserve"> </w:t>
      </w:r>
      <w:r w:rsidR="373D5F8C" w:rsidRPr="373D5F8C">
        <w:rPr>
          <w:rFonts w:ascii="Arial" w:eastAsia="Arial" w:hAnsi="Arial" w:cs="Arial"/>
          <w:color w:val="000000" w:themeColor="text1"/>
          <w:sz w:val="18"/>
          <w:szCs w:val="18"/>
        </w:rPr>
        <w:t>Ibid., op. cit., p. 252. Assim, por força do princípio da segurança jurídica, considerado em sentido amplo, arremata Canotilho que o indivíduo tem do direito poder confiar em que aos seus atos ou às decisões públicas incidentes sobre os seus direitos, posições ou relações jurídicas alicerçados em normas jurídicas vigentes e válidas, decorrem os efeitos jurídicos previstos e prescritos pelo ordenamento jurídico.</w:t>
      </w:r>
    </w:p>
  </w:footnote>
  <w:footnote w:id="16">
    <w:p w14:paraId="3B7F7467" w14:textId="3AA258AD" w:rsidR="16D0F8A3" w:rsidRDefault="16D0F8A3" w:rsidP="373D5F8C">
      <w:pPr>
        <w:spacing w:after="0" w:line="240" w:lineRule="auto"/>
        <w:jc w:val="both"/>
        <w:rPr>
          <w:rFonts w:ascii="Arial" w:eastAsia="Arial" w:hAnsi="Arial" w:cs="Arial"/>
          <w:color w:val="000000" w:themeColor="text1"/>
          <w:sz w:val="18"/>
          <w:szCs w:val="18"/>
        </w:rPr>
      </w:pPr>
      <w:r w:rsidRPr="16D0F8A3">
        <w:rPr>
          <w:rStyle w:val="Refdenotaderodap"/>
          <w:rFonts w:ascii="Arial" w:eastAsia="Arial" w:hAnsi="Arial" w:cs="Arial"/>
          <w:sz w:val="18"/>
          <w:szCs w:val="18"/>
        </w:rPr>
        <w:footnoteRef/>
      </w:r>
      <w:r w:rsidR="373D5F8C" w:rsidRPr="16D0F8A3">
        <w:rPr>
          <w:rFonts w:ascii="Arial" w:eastAsia="Arial" w:hAnsi="Arial" w:cs="Arial"/>
          <w:sz w:val="18"/>
          <w:szCs w:val="18"/>
        </w:rPr>
        <w:t xml:space="preserve"> </w:t>
      </w:r>
      <w:r w:rsidR="373D5F8C" w:rsidRPr="373D5F8C">
        <w:rPr>
          <w:rFonts w:ascii="Arial" w:eastAsia="Arial" w:hAnsi="Arial" w:cs="Arial"/>
          <w:color w:val="000000" w:themeColor="text1"/>
          <w:sz w:val="18"/>
          <w:szCs w:val="18"/>
        </w:rPr>
        <w:t>No mesmo sentido é a Lei Complementar Distrital 840, de 2011: Art. 120. [...] Parágrafo único. É vedado exigir reposição de valor em virtude de aplicação retroativa de nova interpretação da norma de regência.</w:t>
      </w:r>
    </w:p>
  </w:footnote>
  <w:footnote w:id="17">
    <w:p w14:paraId="5E43B6D6" w14:textId="282D1484" w:rsidR="16D0F8A3" w:rsidRDefault="16D0F8A3" w:rsidP="373D5F8C">
      <w:pPr>
        <w:spacing w:after="0" w:line="240" w:lineRule="auto"/>
        <w:jc w:val="both"/>
        <w:rPr>
          <w:rFonts w:ascii="Arial" w:eastAsia="Arial" w:hAnsi="Arial" w:cs="Arial"/>
          <w:color w:val="000000" w:themeColor="text1"/>
          <w:sz w:val="18"/>
          <w:szCs w:val="18"/>
        </w:rPr>
      </w:pPr>
      <w:r w:rsidRPr="16D0F8A3">
        <w:rPr>
          <w:rStyle w:val="Refdenotaderodap"/>
          <w:rFonts w:ascii="Arial" w:eastAsia="Arial" w:hAnsi="Arial" w:cs="Arial"/>
          <w:sz w:val="18"/>
          <w:szCs w:val="18"/>
        </w:rPr>
        <w:footnoteRef/>
      </w:r>
      <w:r w:rsidR="373D5F8C" w:rsidRPr="16D0F8A3">
        <w:rPr>
          <w:rFonts w:ascii="Arial" w:eastAsia="Arial" w:hAnsi="Arial" w:cs="Arial"/>
          <w:sz w:val="18"/>
          <w:szCs w:val="18"/>
        </w:rPr>
        <w:t xml:space="preserve"> </w:t>
      </w:r>
      <w:r w:rsidR="373D5F8C" w:rsidRPr="373D5F8C">
        <w:rPr>
          <w:rFonts w:ascii="Arial" w:eastAsia="Arial" w:hAnsi="Arial" w:cs="Arial"/>
          <w:color w:val="000000" w:themeColor="text1"/>
          <w:sz w:val="18"/>
          <w:szCs w:val="18"/>
        </w:rPr>
        <w:t>Lei 9.784, de 1999: “Art. 2º A Administração Pública obedecerá, dentre outros, aos princípios da legalidade, finalidade, motivação, razoabilidade, proporcionalidade, moralidade, ampla defesa, contraditório, segurança jurídica, interesse público e eficiência.</w:t>
      </w:r>
    </w:p>
  </w:footnote>
  <w:footnote w:id="18">
    <w:p w14:paraId="4F62052E" w14:textId="209AAEA7" w:rsidR="16D0F8A3" w:rsidRDefault="16D0F8A3" w:rsidP="373D5F8C">
      <w:pPr>
        <w:spacing w:after="0" w:line="240" w:lineRule="auto"/>
        <w:jc w:val="both"/>
        <w:rPr>
          <w:rFonts w:ascii="Arial" w:eastAsia="Arial" w:hAnsi="Arial" w:cs="Arial"/>
          <w:color w:val="000000" w:themeColor="text1"/>
          <w:sz w:val="18"/>
          <w:szCs w:val="18"/>
        </w:rPr>
      </w:pPr>
      <w:r w:rsidRPr="16D0F8A3">
        <w:rPr>
          <w:rStyle w:val="Refdenotaderodap"/>
          <w:rFonts w:ascii="Arial" w:eastAsia="Arial" w:hAnsi="Arial" w:cs="Arial"/>
          <w:sz w:val="18"/>
          <w:szCs w:val="18"/>
        </w:rPr>
        <w:footnoteRef/>
      </w:r>
      <w:r w:rsidR="373D5F8C" w:rsidRPr="16D0F8A3">
        <w:rPr>
          <w:rFonts w:ascii="Arial" w:eastAsia="Arial" w:hAnsi="Arial" w:cs="Arial"/>
          <w:sz w:val="18"/>
          <w:szCs w:val="18"/>
        </w:rPr>
        <w:t xml:space="preserve"> </w:t>
      </w:r>
      <w:r w:rsidR="373D5F8C" w:rsidRPr="373D5F8C">
        <w:rPr>
          <w:rFonts w:ascii="Arial" w:eastAsia="Arial" w:hAnsi="Arial" w:cs="Arial"/>
          <w:color w:val="000000" w:themeColor="text1"/>
          <w:sz w:val="18"/>
          <w:szCs w:val="18"/>
        </w:rPr>
        <w:t>Disponível em: https://jurisprudencia.stf.jus.br/pages/search/sjur426663/false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F646" w14:textId="2CDB00C0" w:rsidR="00A217CB" w:rsidRPr="00C10247" w:rsidRDefault="163427A8" w:rsidP="0009266F">
    <w:pPr>
      <w:pStyle w:val="Cabealho"/>
      <w:tabs>
        <w:tab w:val="clear" w:pos="4252"/>
        <w:tab w:val="clear" w:pos="8504"/>
      </w:tabs>
      <w:jc w:val="center"/>
    </w:pPr>
    <w:r>
      <w:rPr>
        <w:noProof/>
      </w:rPr>
      <w:drawing>
        <wp:inline distT="0" distB="0" distL="0" distR="0" wp14:anchorId="5373D3AE" wp14:editId="09445E69">
          <wp:extent cx="5334002" cy="1076325"/>
          <wp:effectExtent l="0" t="0" r="0" b="0"/>
          <wp:docPr id="351483925" name="Imagem 351483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334002" cy="1076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54B43"/>
    <w:multiLevelType w:val="hybridMultilevel"/>
    <w:tmpl w:val="2D0812AC"/>
    <w:lvl w:ilvl="0" w:tplc="96082944">
      <w:start w:val="1"/>
      <w:numFmt w:val="decimal"/>
      <w:lvlText w:val="%1)"/>
      <w:lvlJc w:val="left"/>
      <w:pPr>
        <w:ind w:left="720" w:hanging="360"/>
      </w:pPr>
    </w:lvl>
    <w:lvl w:ilvl="1" w:tplc="9508DA80">
      <w:start w:val="1"/>
      <w:numFmt w:val="lowerLetter"/>
      <w:lvlText w:val="%2."/>
      <w:lvlJc w:val="left"/>
      <w:pPr>
        <w:ind w:left="1440" w:hanging="360"/>
      </w:pPr>
    </w:lvl>
    <w:lvl w:ilvl="2" w:tplc="DD686886">
      <w:start w:val="1"/>
      <w:numFmt w:val="lowerRoman"/>
      <w:lvlText w:val="%3."/>
      <w:lvlJc w:val="right"/>
      <w:pPr>
        <w:ind w:left="2160" w:hanging="180"/>
      </w:pPr>
    </w:lvl>
    <w:lvl w:ilvl="3" w:tplc="458432CC">
      <w:start w:val="1"/>
      <w:numFmt w:val="decimal"/>
      <w:lvlText w:val="%4."/>
      <w:lvlJc w:val="left"/>
      <w:pPr>
        <w:ind w:left="2880" w:hanging="360"/>
      </w:pPr>
    </w:lvl>
    <w:lvl w:ilvl="4" w:tplc="4DE6DFEE">
      <w:start w:val="1"/>
      <w:numFmt w:val="lowerLetter"/>
      <w:lvlText w:val="%5."/>
      <w:lvlJc w:val="left"/>
      <w:pPr>
        <w:ind w:left="3600" w:hanging="360"/>
      </w:pPr>
    </w:lvl>
    <w:lvl w:ilvl="5" w:tplc="6D2463D6">
      <w:start w:val="1"/>
      <w:numFmt w:val="lowerRoman"/>
      <w:lvlText w:val="%6."/>
      <w:lvlJc w:val="right"/>
      <w:pPr>
        <w:ind w:left="4320" w:hanging="180"/>
      </w:pPr>
    </w:lvl>
    <w:lvl w:ilvl="6" w:tplc="9FC6E712">
      <w:start w:val="1"/>
      <w:numFmt w:val="decimal"/>
      <w:lvlText w:val="%7."/>
      <w:lvlJc w:val="left"/>
      <w:pPr>
        <w:ind w:left="5040" w:hanging="360"/>
      </w:pPr>
    </w:lvl>
    <w:lvl w:ilvl="7" w:tplc="398CF7C0">
      <w:start w:val="1"/>
      <w:numFmt w:val="lowerLetter"/>
      <w:lvlText w:val="%8."/>
      <w:lvlJc w:val="left"/>
      <w:pPr>
        <w:ind w:left="5760" w:hanging="360"/>
      </w:pPr>
    </w:lvl>
    <w:lvl w:ilvl="8" w:tplc="39A0380E">
      <w:start w:val="1"/>
      <w:numFmt w:val="lowerRoman"/>
      <w:lvlText w:val="%9."/>
      <w:lvlJc w:val="right"/>
      <w:pPr>
        <w:ind w:left="6480" w:hanging="180"/>
      </w:pPr>
    </w:lvl>
  </w:abstractNum>
  <w:abstractNum w:abstractNumId="1" w15:restartNumberingAfterBreak="0">
    <w:nsid w:val="647471DE"/>
    <w:multiLevelType w:val="hybridMultilevel"/>
    <w:tmpl w:val="42A413D0"/>
    <w:lvl w:ilvl="0" w:tplc="5FDAB566">
      <w:start w:val="1"/>
      <w:numFmt w:val="decimal"/>
      <w:lvlText w:val="%1)"/>
      <w:lvlJc w:val="left"/>
      <w:pPr>
        <w:ind w:left="720" w:hanging="360"/>
      </w:pPr>
    </w:lvl>
    <w:lvl w:ilvl="1" w:tplc="99167B32">
      <w:start w:val="1"/>
      <w:numFmt w:val="lowerLetter"/>
      <w:lvlText w:val="%2."/>
      <w:lvlJc w:val="left"/>
      <w:pPr>
        <w:ind w:left="1440" w:hanging="360"/>
      </w:pPr>
    </w:lvl>
    <w:lvl w:ilvl="2" w:tplc="C1B84A72">
      <w:start w:val="1"/>
      <w:numFmt w:val="lowerRoman"/>
      <w:lvlText w:val="%3."/>
      <w:lvlJc w:val="right"/>
      <w:pPr>
        <w:ind w:left="2160" w:hanging="180"/>
      </w:pPr>
    </w:lvl>
    <w:lvl w:ilvl="3" w:tplc="62BAF978">
      <w:start w:val="1"/>
      <w:numFmt w:val="decimal"/>
      <w:lvlText w:val="%4."/>
      <w:lvlJc w:val="left"/>
      <w:pPr>
        <w:ind w:left="2880" w:hanging="360"/>
      </w:pPr>
    </w:lvl>
    <w:lvl w:ilvl="4" w:tplc="1F6A8D1E">
      <w:start w:val="1"/>
      <w:numFmt w:val="lowerLetter"/>
      <w:lvlText w:val="%5."/>
      <w:lvlJc w:val="left"/>
      <w:pPr>
        <w:ind w:left="3600" w:hanging="360"/>
      </w:pPr>
    </w:lvl>
    <w:lvl w:ilvl="5" w:tplc="6486039A">
      <w:start w:val="1"/>
      <w:numFmt w:val="lowerRoman"/>
      <w:lvlText w:val="%6."/>
      <w:lvlJc w:val="right"/>
      <w:pPr>
        <w:ind w:left="4320" w:hanging="180"/>
      </w:pPr>
    </w:lvl>
    <w:lvl w:ilvl="6" w:tplc="A5B214E6">
      <w:start w:val="1"/>
      <w:numFmt w:val="decimal"/>
      <w:lvlText w:val="%7."/>
      <w:lvlJc w:val="left"/>
      <w:pPr>
        <w:ind w:left="5040" w:hanging="360"/>
      </w:pPr>
    </w:lvl>
    <w:lvl w:ilvl="7" w:tplc="012409F0">
      <w:start w:val="1"/>
      <w:numFmt w:val="lowerLetter"/>
      <w:lvlText w:val="%8."/>
      <w:lvlJc w:val="left"/>
      <w:pPr>
        <w:ind w:left="5760" w:hanging="360"/>
      </w:pPr>
    </w:lvl>
    <w:lvl w:ilvl="8" w:tplc="756884E8">
      <w:start w:val="1"/>
      <w:numFmt w:val="lowerRoman"/>
      <w:lvlText w:val="%9."/>
      <w:lvlJc w:val="right"/>
      <w:pPr>
        <w:ind w:left="6480" w:hanging="180"/>
      </w:pPr>
    </w:lvl>
  </w:abstractNum>
  <w:abstractNum w:abstractNumId="2" w15:restartNumberingAfterBreak="0">
    <w:nsid w:val="74496638"/>
    <w:multiLevelType w:val="hybridMultilevel"/>
    <w:tmpl w:val="E6E4516C"/>
    <w:lvl w:ilvl="0" w:tplc="19C01B1C">
      <w:start w:val="1"/>
      <w:numFmt w:val="decimal"/>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66F"/>
    <w:rsid w:val="00002F10"/>
    <w:rsid w:val="00003738"/>
    <w:rsid w:val="000430C1"/>
    <w:rsid w:val="00054E15"/>
    <w:rsid w:val="0009266F"/>
    <w:rsid w:val="000A6BBF"/>
    <w:rsid w:val="000C52E6"/>
    <w:rsid w:val="000C554D"/>
    <w:rsid w:val="00113EA8"/>
    <w:rsid w:val="001548D3"/>
    <w:rsid w:val="00160B82"/>
    <w:rsid w:val="00161914"/>
    <w:rsid w:val="00174B58"/>
    <w:rsid w:val="001A02B3"/>
    <w:rsid w:val="001A65AF"/>
    <w:rsid w:val="001C53D1"/>
    <w:rsid w:val="00216C7E"/>
    <w:rsid w:val="00235D53"/>
    <w:rsid w:val="00236FD4"/>
    <w:rsid w:val="00237189"/>
    <w:rsid w:val="00252B9D"/>
    <w:rsid w:val="00270374"/>
    <w:rsid w:val="002762FA"/>
    <w:rsid w:val="00290407"/>
    <w:rsid w:val="002B04E9"/>
    <w:rsid w:val="002C15C9"/>
    <w:rsid w:val="002C5A42"/>
    <w:rsid w:val="002F2EB4"/>
    <w:rsid w:val="003056BE"/>
    <w:rsid w:val="00320228"/>
    <w:rsid w:val="00331403"/>
    <w:rsid w:val="00343D65"/>
    <w:rsid w:val="00345ED6"/>
    <w:rsid w:val="003554EE"/>
    <w:rsid w:val="00361A7B"/>
    <w:rsid w:val="00377D92"/>
    <w:rsid w:val="00384013"/>
    <w:rsid w:val="003A79E8"/>
    <w:rsid w:val="003B7F53"/>
    <w:rsid w:val="003E2723"/>
    <w:rsid w:val="003E5A4C"/>
    <w:rsid w:val="00401CCE"/>
    <w:rsid w:val="00452AFD"/>
    <w:rsid w:val="00474041"/>
    <w:rsid w:val="00484544"/>
    <w:rsid w:val="0048736A"/>
    <w:rsid w:val="0049716F"/>
    <w:rsid w:val="00497BF7"/>
    <w:rsid w:val="004A68D1"/>
    <w:rsid w:val="004A747B"/>
    <w:rsid w:val="004B076B"/>
    <w:rsid w:val="004D0069"/>
    <w:rsid w:val="005221DD"/>
    <w:rsid w:val="0052566B"/>
    <w:rsid w:val="0053530C"/>
    <w:rsid w:val="005618B8"/>
    <w:rsid w:val="00563BF2"/>
    <w:rsid w:val="0057599D"/>
    <w:rsid w:val="00592C06"/>
    <w:rsid w:val="005A765A"/>
    <w:rsid w:val="005E0000"/>
    <w:rsid w:val="005F0A06"/>
    <w:rsid w:val="005F3B1F"/>
    <w:rsid w:val="006071D0"/>
    <w:rsid w:val="0061326D"/>
    <w:rsid w:val="006439DF"/>
    <w:rsid w:val="0064F91B"/>
    <w:rsid w:val="006A68FF"/>
    <w:rsid w:val="006A7685"/>
    <w:rsid w:val="006E2987"/>
    <w:rsid w:val="006E3806"/>
    <w:rsid w:val="006F1050"/>
    <w:rsid w:val="006F71EE"/>
    <w:rsid w:val="007453B3"/>
    <w:rsid w:val="0077243F"/>
    <w:rsid w:val="007963AC"/>
    <w:rsid w:val="007A1EAB"/>
    <w:rsid w:val="007A2D20"/>
    <w:rsid w:val="007A2DB9"/>
    <w:rsid w:val="007D5D39"/>
    <w:rsid w:val="007E03C5"/>
    <w:rsid w:val="007E21DB"/>
    <w:rsid w:val="007F2FF1"/>
    <w:rsid w:val="00805FDD"/>
    <w:rsid w:val="00810708"/>
    <w:rsid w:val="008372E0"/>
    <w:rsid w:val="008759D8"/>
    <w:rsid w:val="00884728"/>
    <w:rsid w:val="00886411"/>
    <w:rsid w:val="00899A8C"/>
    <w:rsid w:val="008A202F"/>
    <w:rsid w:val="008B395C"/>
    <w:rsid w:val="008B4324"/>
    <w:rsid w:val="008E31EC"/>
    <w:rsid w:val="00901C29"/>
    <w:rsid w:val="00944842"/>
    <w:rsid w:val="009472E6"/>
    <w:rsid w:val="00987FFD"/>
    <w:rsid w:val="00991616"/>
    <w:rsid w:val="009A37CB"/>
    <w:rsid w:val="009F12FD"/>
    <w:rsid w:val="00A217CB"/>
    <w:rsid w:val="00A22C08"/>
    <w:rsid w:val="00A408F9"/>
    <w:rsid w:val="00A43C20"/>
    <w:rsid w:val="00A479CD"/>
    <w:rsid w:val="00A53D55"/>
    <w:rsid w:val="00A64F35"/>
    <w:rsid w:val="00A734AD"/>
    <w:rsid w:val="00A747B2"/>
    <w:rsid w:val="00A76D6F"/>
    <w:rsid w:val="00A86718"/>
    <w:rsid w:val="00A86EB1"/>
    <w:rsid w:val="00A91CF3"/>
    <w:rsid w:val="00AA2A10"/>
    <w:rsid w:val="00AA7B2E"/>
    <w:rsid w:val="00AB1555"/>
    <w:rsid w:val="00AB5CDA"/>
    <w:rsid w:val="00B01590"/>
    <w:rsid w:val="00B130B0"/>
    <w:rsid w:val="00B22722"/>
    <w:rsid w:val="00B45DF9"/>
    <w:rsid w:val="00B662B4"/>
    <w:rsid w:val="00B77566"/>
    <w:rsid w:val="00B85574"/>
    <w:rsid w:val="00B87155"/>
    <w:rsid w:val="00B9217E"/>
    <w:rsid w:val="00B97A85"/>
    <w:rsid w:val="00BA6F6E"/>
    <w:rsid w:val="00BB1471"/>
    <w:rsid w:val="00BC5030"/>
    <w:rsid w:val="00BF1956"/>
    <w:rsid w:val="00C01E42"/>
    <w:rsid w:val="00C10247"/>
    <w:rsid w:val="00C22174"/>
    <w:rsid w:val="00C43815"/>
    <w:rsid w:val="00C514BD"/>
    <w:rsid w:val="00C828E1"/>
    <w:rsid w:val="00C86119"/>
    <w:rsid w:val="00C90300"/>
    <w:rsid w:val="00CA3A62"/>
    <w:rsid w:val="00CB21A2"/>
    <w:rsid w:val="00CD1B74"/>
    <w:rsid w:val="00CD4B49"/>
    <w:rsid w:val="00CF2D72"/>
    <w:rsid w:val="00D065F2"/>
    <w:rsid w:val="00D15048"/>
    <w:rsid w:val="00D217FF"/>
    <w:rsid w:val="00D629C6"/>
    <w:rsid w:val="00D8063E"/>
    <w:rsid w:val="00D86C3F"/>
    <w:rsid w:val="00DD4FAD"/>
    <w:rsid w:val="00DE221C"/>
    <w:rsid w:val="00DF435A"/>
    <w:rsid w:val="00E01E1A"/>
    <w:rsid w:val="00E37BF9"/>
    <w:rsid w:val="00E519D8"/>
    <w:rsid w:val="00E51B30"/>
    <w:rsid w:val="00E81C99"/>
    <w:rsid w:val="00E82E83"/>
    <w:rsid w:val="00E92278"/>
    <w:rsid w:val="00EB3C68"/>
    <w:rsid w:val="00EB7919"/>
    <w:rsid w:val="00EC7EE2"/>
    <w:rsid w:val="00EE6E16"/>
    <w:rsid w:val="00F02F4F"/>
    <w:rsid w:val="00F25736"/>
    <w:rsid w:val="00F31A1F"/>
    <w:rsid w:val="00F3401F"/>
    <w:rsid w:val="00F51AAB"/>
    <w:rsid w:val="00F54D08"/>
    <w:rsid w:val="00F57F45"/>
    <w:rsid w:val="00F66EB7"/>
    <w:rsid w:val="00F74FD3"/>
    <w:rsid w:val="00FA4F63"/>
    <w:rsid w:val="00FB18B5"/>
    <w:rsid w:val="00FC46A2"/>
    <w:rsid w:val="00FD7953"/>
    <w:rsid w:val="0118E1EC"/>
    <w:rsid w:val="01286084"/>
    <w:rsid w:val="0130C949"/>
    <w:rsid w:val="0167F674"/>
    <w:rsid w:val="01D60C39"/>
    <w:rsid w:val="0272310D"/>
    <w:rsid w:val="0385378F"/>
    <w:rsid w:val="03C01EB6"/>
    <w:rsid w:val="03C18A92"/>
    <w:rsid w:val="03D92095"/>
    <w:rsid w:val="04AC2451"/>
    <w:rsid w:val="05386A3E"/>
    <w:rsid w:val="054AD8C0"/>
    <w:rsid w:val="05B1A161"/>
    <w:rsid w:val="0624905E"/>
    <w:rsid w:val="06A9B91D"/>
    <w:rsid w:val="06BCD851"/>
    <w:rsid w:val="071E25B3"/>
    <w:rsid w:val="07D53026"/>
    <w:rsid w:val="07F71CF9"/>
    <w:rsid w:val="088A8078"/>
    <w:rsid w:val="08B76B82"/>
    <w:rsid w:val="0952A103"/>
    <w:rsid w:val="09D8B6C1"/>
    <w:rsid w:val="0A0E6ABE"/>
    <w:rsid w:val="0A5DD79D"/>
    <w:rsid w:val="0A6AD9F7"/>
    <w:rsid w:val="0B3E082A"/>
    <w:rsid w:val="0B5E0DAC"/>
    <w:rsid w:val="0B92E516"/>
    <w:rsid w:val="0B93D799"/>
    <w:rsid w:val="0C988BEC"/>
    <w:rsid w:val="0CD7492E"/>
    <w:rsid w:val="0CE29452"/>
    <w:rsid w:val="0CEF1A09"/>
    <w:rsid w:val="0D1069A5"/>
    <w:rsid w:val="0DF04EF3"/>
    <w:rsid w:val="0EAA2E52"/>
    <w:rsid w:val="0EBE91AB"/>
    <w:rsid w:val="0EC5D20F"/>
    <w:rsid w:val="0EE18336"/>
    <w:rsid w:val="0F25A3E0"/>
    <w:rsid w:val="0F427525"/>
    <w:rsid w:val="0F49EAE7"/>
    <w:rsid w:val="105EF19B"/>
    <w:rsid w:val="107B4D52"/>
    <w:rsid w:val="10D98A23"/>
    <w:rsid w:val="11FCF7E5"/>
    <w:rsid w:val="120E2086"/>
    <w:rsid w:val="121C2F41"/>
    <w:rsid w:val="1246EAB8"/>
    <w:rsid w:val="127F7A57"/>
    <w:rsid w:val="130ED73F"/>
    <w:rsid w:val="131B5244"/>
    <w:rsid w:val="136CFD6A"/>
    <w:rsid w:val="13768824"/>
    <w:rsid w:val="1378DA71"/>
    <w:rsid w:val="1399954A"/>
    <w:rsid w:val="13E3805E"/>
    <w:rsid w:val="140D6B5C"/>
    <w:rsid w:val="143EE12C"/>
    <w:rsid w:val="14593725"/>
    <w:rsid w:val="1468DEBE"/>
    <w:rsid w:val="14C11EED"/>
    <w:rsid w:val="14C3D4BA"/>
    <w:rsid w:val="14D945F8"/>
    <w:rsid w:val="14F33815"/>
    <w:rsid w:val="151DA9E9"/>
    <w:rsid w:val="156B897F"/>
    <w:rsid w:val="15A281F1"/>
    <w:rsid w:val="15AF6BE3"/>
    <w:rsid w:val="15F50786"/>
    <w:rsid w:val="163427A8"/>
    <w:rsid w:val="1634C999"/>
    <w:rsid w:val="1648771E"/>
    <w:rsid w:val="1676AF23"/>
    <w:rsid w:val="16D0F8A3"/>
    <w:rsid w:val="17D392DE"/>
    <w:rsid w:val="18173A49"/>
    <w:rsid w:val="1845D8BA"/>
    <w:rsid w:val="1884368C"/>
    <w:rsid w:val="18B71A27"/>
    <w:rsid w:val="193F04BD"/>
    <w:rsid w:val="19A0C821"/>
    <w:rsid w:val="19F65ED3"/>
    <w:rsid w:val="19F79E71"/>
    <w:rsid w:val="1A493B31"/>
    <w:rsid w:val="1ABBAA3A"/>
    <w:rsid w:val="1AC6A505"/>
    <w:rsid w:val="1AD412EE"/>
    <w:rsid w:val="1B18A064"/>
    <w:rsid w:val="1B5AEAE3"/>
    <w:rsid w:val="1B806081"/>
    <w:rsid w:val="1C7F416C"/>
    <w:rsid w:val="1D4B11F3"/>
    <w:rsid w:val="1DDA3B7B"/>
    <w:rsid w:val="1E7E2597"/>
    <w:rsid w:val="1EA2C124"/>
    <w:rsid w:val="1EC42746"/>
    <w:rsid w:val="1F1915B5"/>
    <w:rsid w:val="1F51C7DE"/>
    <w:rsid w:val="206E70F2"/>
    <w:rsid w:val="2103E1AF"/>
    <w:rsid w:val="2138C8C7"/>
    <w:rsid w:val="214E08C2"/>
    <w:rsid w:val="21571499"/>
    <w:rsid w:val="22179B6D"/>
    <w:rsid w:val="2222414F"/>
    <w:rsid w:val="2287AE24"/>
    <w:rsid w:val="228968A0"/>
    <w:rsid w:val="22A6AC3A"/>
    <w:rsid w:val="22BAD953"/>
    <w:rsid w:val="234EE53C"/>
    <w:rsid w:val="23DF0334"/>
    <w:rsid w:val="24BF9438"/>
    <w:rsid w:val="250547DE"/>
    <w:rsid w:val="2525B0C6"/>
    <w:rsid w:val="25637010"/>
    <w:rsid w:val="2587D523"/>
    <w:rsid w:val="25F27A15"/>
    <w:rsid w:val="263B89B9"/>
    <w:rsid w:val="264547C0"/>
    <w:rsid w:val="269C099A"/>
    <w:rsid w:val="270566F4"/>
    <w:rsid w:val="270D09BA"/>
    <w:rsid w:val="27E66AA2"/>
    <w:rsid w:val="2889107C"/>
    <w:rsid w:val="28D42E5D"/>
    <w:rsid w:val="28F31836"/>
    <w:rsid w:val="29F770E6"/>
    <w:rsid w:val="29FC2ADB"/>
    <w:rsid w:val="2A24444A"/>
    <w:rsid w:val="2A93A991"/>
    <w:rsid w:val="2AAC25CF"/>
    <w:rsid w:val="2B0C3E39"/>
    <w:rsid w:val="2BC1AA23"/>
    <w:rsid w:val="2CFFC69F"/>
    <w:rsid w:val="2EC3B364"/>
    <w:rsid w:val="2EEA48E3"/>
    <w:rsid w:val="2F06F90E"/>
    <w:rsid w:val="2F9EEE56"/>
    <w:rsid w:val="2FFC07A4"/>
    <w:rsid w:val="308CA82C"/>
    <w:rsid w:val="30C52AF5"/>
    <w:rsid w:val="30C7338F"/>
    <w:rsid w:val="31124600"/>
    <w:rsid w:val="3112FC41"/>
    <w:rsid w:val="31475E1E"/>
    <w:rsid w:val="32EF7128"/>
    <w:rsid w:val="3305B352"/>
    <w:rsid w:val="33132D7A"/>
    <w:rsid w:val="3333F133"/>
    <w:rsid w:val="34312752"/>
    <w:rsid w:val="347EFEE0"/>
    <w:rsid w:val="34F5EB7F"/>
    <w:rsid w:val="34FD4260"/>
    <w:rsid w:val="358CFEF0"/>
    <w:rsid w:val="35E36A7F"/>
    <w:rsid w:val="35E75B29"/>
    <w:rsid w:val="362BB8E4"/>
    <w:rsid w:val="3641BBA4"/>
    <w:rsid w:val="36AF8B9C"/>
    <w:rsid w:val="36E2FEA8"/>
    <w:rsid w:val="3718C8B1"/>
    <w:rsid w:val="373D5F8C"/>
    <w:rsid w:val="3771E3B9"/>
    <w:rsid w:val="3837AA1F"/>
    <w:rsid w:val="398867C8"/>
    <w:rsid w:val="39BA3FF3"/>
    <w:rsid w:val="3A9B58FE"/>
    <w:rsid w:val="3AD1F9DF"/>
    <w:rsid w:val="3BB60C8C"/>
    <w:rsid w:val="3C65D76A"/>
    <w:rsid w:val="3C91B23C"/>
    <w:rsid w:val="3C9A7477"/>
    <w:rsid w:val="3D1D9F59"/>
    <w:rsid w:val="3D51DCED"/>
    <w:rsid w:val="3D6C39CE"/>
    <w:rsid w:val="3D8F93CA"/>
    <w:rsid w:val="3DE5A3A8"/>
    <w:rsid w:val="3DEECEF6"/>
    <w:rsid w:val="3E9FA0EA"/>
    <w:rsid w:val="3F13CD8E"/>
    <w:rsid w:val="3F265601"/>
    <w:rsid w:val="3F9C4904"/>
    <w:rsid w:val="3FF8EAE4"/>
    <w:rsid w:val="40316EFD"/>
    <w:rsid w:val="4109F267"/>
    <w:rsid w:val="41E4B55A"/>
    <w:rsid w:val="41F2D13D"/>
    <w:rsid w:val="42A6CCEC"/>
    <w:rsid w:val="42FFAB3D"/>
    <w:rsid w:val="4315C08C"/>
    <w:rsid w:val="43690FBF"/>
    <w:rsid w:val="44033704"/>
    <w:rsid w:val="4430C083"/>
    <w:rsid w:val="443CDD1C"/>
    <w:rsid w:val="443DD7F0"/>
    <w:rsid w:val="44411D1A"/>
    <w:rsid w:val="44713F4F"/>
    <w:rsid w:val="448F9403"/>
    <w:rsid w:val="449DCDEB"/>
    <w:rsid w:val="44FFD39C"/>
    <w:rsid w:val="45081017"/>
    <w:rsid w:val="45689FA7"/>
    <w:rsid w:val="4597818F"/>
    <w:rsid w:val="45A79F3E"/>
    <w:rsid w:val="45B34E5B"/>
    <w:rsid w:val="45B5EC3D"/>
    <w:rsid w:val="45C4A621"/>
    <w:rsid w:val="465B0E9F"/>
    <w:rsid w:val="46A0B081"/>
    <w:rsid w:val="46AC5561"/>
    <w:rsid w:val="47FB4642"/>
    <w:rsid w:val="48235885"/>
    <w:rsid w:val="48570761"/>
    <w:rsid w:val="485B4ADE"/>
    <w:rsid w:val="48912AFF"/>
    <w:rsid w:val="489B1CBF"/>
    <w:rsid w:val="48F7CEB7"/>
    <w:rsid w:val="490E1D3D"/>
    <w:rsid w:val="4941A6DE"/>
    <w:rsid w:val="49616F3C"/>
    <w:rsid w:val="499DBF6A"/>
    <w:rsid w:val="49F2D7C2"/>
    <w:rsid w:val="4A1A6056"/>
    <w:rsid w:val="4A8D3281"/>
    <w:rsid w:val="4B24BFF4"/>
    <w:rsid w:val="4B46E9C1"/>
    <w:rsid w:val="4B5BB1F4"/>
    <w:rsid w:val="4BBAB816"/>
    <w:rsid w:val="4BD3BBBB"/>
    <w:rsid w:val="4BDEFEC4"/>
    <w:rsid w:val="4CE93038"/>
    <w:rsid w:val="4D11C9EB"/>
    <w:rsid w:val="4DAA0A45"/>
    <w:rsid w:val="4DBD5D9C"/>
    <w:rsid w:val="4E61CCF8"/>
    <w:rsid w:val="4E95A4B8"/>
    <w:rsid w:val="4E9C9C57"/>
    <w:rsid w:val="4EA7095C"/>
    <w:rsid w:val="4EFA35C1"/>
    <w:rsid w:val="4F73CC50"/>
    <w:rsid w:val="50BB6651"/>
    <w:rsid w:val="50C11472"/>
    <w:rsid w:val="511BD4C2"/>
    <w:rsid w:val="51295C86"/>
    <w:rsid w:val="51A18D16"/>
    <w:rsid w:val="51B3E0E1"/>
    <w:rsid w:val="51C447D2"/>
    <w:rsid w:val="521C38D3"/>
    <w:rsid w:val="52759FE0"/>
    <w:rsid w:val="52776639"/>
    <w:rsid w:val="53A54B59"/>
    <w:rsid w:val="53B85862"/>
    <w:rsid w:val="53CD319D"/>
    <w:rsid w:val="53F56213"/>
    <w:rsid w:val="5447D4EB"/>
    <w:rsid w:val="5459CE1F"/>
    <w:rsid w:val="54B7D4FB"/>
    <w:rsid w:val="54C02237"/>
    <w:rsid w:val="550597EB"/>
    <w:rsid w:val="551D7F4A"/>
    <w:rsid w:val="553C68B6"/>
    <w:rsid w:val="555EE85F"/>
    <w:rsid w:val="559A8078"/>
    <w:rsid w:val="57874D08"/>
    <w:rsid w:val="57DEAD43"/>
    <w:rsid w:val="581A60F9"/>
    <w:rsid w:val="583D38AD"/>
    <w:rsid w:val="588012C1"/>
    <w:rsid w:val="589B3B55"/>
    <w:rsid w:val="59051B00"/>
    <w:rsid w:val="59198566"/>
    <w:rsid w:val="5928C0D7"/>
    <w:rsid w:val="597DBA24"/>
    <w:rsid w:val="598C33C8"/>
    <w:rsid w:val="5A3BE77E"/>
    <w:rsid w:val="5AB4209A"/>
    <w:rsid w:val="5AF1C982"/>
    <w:rsid w:val="5B198A85"/>
    <w:rsid w:val="5B32B33B"/>
    <w:rsid w:val="5BEB762A"/>
    <w:rsid w:val="5BF4F631"/>
    <w:rsid w:val="5C5FD380"/>
    <w:rsid w:val="5C86F336"/>
    <w:rsid w:val="5C96AECF"/>
    <w:rsid w:val="5CD44550"/>
    <w:rsid w:val="5D1E4158"/>
    <w:rsid w:val="5D28912F"/>
    <w:rsid w:val="5D2CC30C"/>
    <w:rsid w:val="5E447864"/>
    <w:rsid w:val="5E9DF4FF"/>
    <w:rsid w:val="5F37E8DA"/>
    <w:rsid w:val="5FA1EABC"/>
    <w:rsid w:val="5FB70745"/>
    <w:rsid w:val="5FFDDBF2"/>
    <w:rsid w:val="6021494F"/>
    <w:rsid w:val="603015F9"/>
    <w:rsid w:val="60D26844"/>
    <w:rsid w:val="6121F73D"/>
    <w:rsid w:val="6157ABAB"/>
    <w:rsid w:val="61A32E47"/>
    <w:rsid w:val="62418F51"/>
    <w:rsid w:val="62549C90"/>
    <w:rsid w:val="62FFF16E"/>
    <w:rsid w:val="632C9DE7"/>
    <w:rsid w:val="635988A4"/>
    <w:rsid w:val="638DEF09"/>
    <w:rsid w:val="63C1004F"/>
    <w:rsid w:val="63DCF935"/>
    <w:rsid w:val="63E697B1"/>
    <w:rsid w:val="642AC924"/>
    <w:rsid w:val="6473AE47"/>
    <w:rsid w:val="64D5D2D2"/>
    <w:rsid w:val="6654AB09"/>
    <w:rsid w:val="667C76E2"/>
    <w:rsid w:val="66A46735"/>
    <w:rsid w:val="66E2F99D"/>
    <w:rsid w:val="6773C660"/>
    <w:rsid w:val="679D16C3"/>
    <w:rsid w:val="67AA0E0B"/>
    <w:rsid w:val="67DB7579"/>
    <w:rsid w:val="68046EB1"/>
    <w:rsid w:val="684A4E70"/>
    <w:rsid w:val="68C022DB"/>
    <w:rsid w:val="68C6583E"/>
    <w:rsid w:val="69182BF2"/>
    <w:rsid w:val="6975D050"/>
    <w:rsid w:val="6990FC84"/>
    <w:rsid w:val="69F0CEA3"/>
    <w:rsid w:val="6A6B67AB"/>
    <w:rsid w:val="6AD9E910"/>
    <w:rsid w:val="6B6B09ED"/>
    <w:rsid w:val="6C6950C7"/>
    <w:rsid w:val="6D11D665"/>
    <w:rsid w:val="6D1BD8B3"/>
    <w:rsid w:val="6D692BF7"/>
    <w:rsid w:val="6DD5ED32"/>
    <w:rsid w:val="6DDDAE48"/>
    <w:rsid w:val="6E68571C"/>
    <w:rsid w:val="6EB3D743"/>
    <w:rsid w:val="6EC43065"/>
    <w:rsid w:val="6F50634B"/>
    <w:rsid w:val="6FEC706D"/>
    <w:rsid w:val="7161BB74"/>
    <w:rsid w:val="7189CD6A"/>
    <w:rsid w:val="71B3B428"/>
    <w:rsid w:val="71BE3FA7"/>
    <w:rsid w:val="71C2B2EC"/>
    <w:rsid w:val="71CFCE15"/>
    <w:rsid w:val="72A2D128"/>
    <w:rsid w:val="72B2019F"/>
    <w:rsid w:val="731218D0"/>
    <w:rsid w:val="73253554"/>
    <w:rsid w:val="7331192D"/>
    <w:rsid w:val="73E7EA8B"/>
    <w:rsid w:val="741DACF7"/>
    <w:rsid w:val="752B1DDB"/>
    <w:rsid w:val="75459774"/>
    <w:rsid w:val="75974163"/>
    <w:rsid w:val="759FD4D3"/>
    <w:rsid w:val="75CA53E1"/>
    <w:rsid w:val="76CE5636"/>
    <w:rsid w:val="7712E680"/>
    <w:rsid w:val="77302F86"/>
    <w:rsid w:val="77936525"/>
    <w:rsid w:val="77C5F2E4"/>
    <w:rsid w:val="780B7024"/>
    <w:rsid w:val="7851C506"/>
    <w:rsid w:val="78B52250"/>
    <w:rsid w:val="78CEE225"/>
    <w:rsid w:val="78E47723"/>
    <w:rsid w:val="792825FC"/>
    <w:rsid w:val="796D193C"/>
    <w:rsid w:val="797D0D95"/>
    <w:rsid w:val="79965450"/>
    <w:rsid w:val="79F846F3"/>
    <w:rsid w:val="7BB6F2FD"/>
    <w:rsid w:val="7C2A52CC"/>
    <w:rsid w:val="7C34B362"/>
    <w:rsid w:val="7C35D2B6"/>
    <w:rsid w:val="7C47B87A"/>
    <w:rsid w:val="7CBF3655"/>
    <w:rsid w:val="7D2EF120"/>
    <w:rsid w:val="7DDE2AE8"/>
    <w:rsid w:val="7DE19E08"/>
    <w:rsid w:val="7E1C0591"/>
    <w:rsid w:val="7E3760DF"/>
    <w:rsid w:val="7E6E25D6"/>
    <w:rsid w:val="7F3F5DD3"/>
    <w:rsid w:val="7F4A518F"/>
    <w:rsid w:val="7F5752BB"/>
    <w:rsid w:val="7F64C9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5F1CD"/>
  <w15:chartTrackingRefBased/>
  <w15:docId w15:val="{D89D4B5F-BEBA-4E28-A2B7-AF55AB57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26D"/>
    <w:pPr>
      <w:spacing w:after="200" w:line="276" w:lineRule="auto"/>
    </w:pPr>
    <w:rPr>
      <w:sz w:val="22"/>
      <w:szCs w:val="22"/>
      <w:lang w:eastAsia="en-US"/>
    </w:rPr>
  </w:style>
  <w:style w:type="paragraph" w:styleId="Ttulo1">
    <w:name w:val="heading 1"/>
    <w:basedOn w:val="Normal"/>
    <w:next w:val="Normal"/>
    <w:link w:val="Ttulo1Char"/>
    <w:qFormat/>
    <w:rsid w:val="00161914"/>
    <w:pPr>
      <w:keepNext/>
      <w:spacing w:after="0" w:line="240" w:lineRule="auto"/>
      <w:jc w:val="both"/>
      <w:outlineLvl w:val="0"/>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0A06"/>
    <w:pPr>
      <w:tabs>
        <w:tab w:val="center" w:pos="4252"/>
        <w:tab w:val="right" w:pos="8504"/>
      </w:tabs>
    </w:pPr>
    <w:rPr>
      <w:lang w:val="x-none"/>
    </w:rPr>
  </w:style>
  <w:style w:type="character" w:customStyle="1" w:styleId="CabealhoChar">
    <w:name w:val="Cabeçalho Char"/>
    <w:link w:val="Cabealho"/>
    <w:uiPriority w:val="99"/>
    <w:rsid w:val="005F0A06"/>
    <w:rPr>
      <w:sz w:val="22"/>
      <w:szCs w:val="22"/>
      <w:lang w:eastAsia="en-US"/>
    </w:rPr>
  </w:style>
  <w:style w:type="paragraph" w:styleId="Rodap">
    <w:name w:val="footer"/>
    <w:basedOn w:val="Normal"/>
    <w:link w:val="RodapChar"/>
    <w:uiPriority w:val="99"/>
    <w:unhideWhenUsed/>
    <w:rsid w:val="005F0A06"/>
    <w:pPr>
      <w:tabs>
        <w:tab w:val="center" w:pos="4252"/>
        <w:tab w:val="right" w:pos="8504"/>
      </w:tabs>
    </w:pPr>
    <w:rPr>
      <w:lang w:val="x-none"/>
    </w:rPr>
  </w:style>
  <w:style w:type="character" w:customStyle="1" w:styleId="RodapChar">
    <w:name w:val="Rodapé Char"/>
    <w:link w:val="Rodap"/>
    <w:uiPriority w:val="99"/>
    <w:rsid w:val="005F0A06"/>
    <w:rPr>
      <w:sz w:val="22"/>
      <w:szCs w:val="22"/>
      <w:lang w:eastAsia="en-US"/>
    </w:rPr>
  </w:style>
  <w:style w:type="paragraph" w:styleId="Textodenotaderodap">
    <w:name w:val="footnote text"/>
    <w:aliases w:val="ESC-Rodapé"/>
    <w:basedOn w:val="Normal"/>
    <w:link w:val="TextodenotaderodapChar"/>
    <w:rsid w:val="005F0A06"/>
    <w:pPr>
      <w:spacing w:after="0" w:line="240" w:lineRule="auto"/>
    </w:pPr>
    <w:rPr>
      <w:rFonts w:ascii="Times New Roman" w:eastAsia="Times New Roman" w:hAnsi="Times New Roman"/>
      <w:sz w:val="20"/>
      <w:szCs w:val="20"/>
      <w:lang w:val="x-none" w:eastAsia="x-none"/>
    </w:rPr>
  </w:style>
  <w:style w:type="character" w:customStyle="1" w:styleId="TextodenotaderodapChar">
    <w:name w:val="Texto de nota de rodapé Char"/>
    <w:aliases w:val="ESC-Rodapé Char"/>
    <w:link w:val="Textodenotaderodap"/>
    <w:rsid w:val="005F0A06"/>
    <w:rPr>
      <w:rFonts w:ascii="Times New Roman" w:eastAsia="Times New Roman" w:hAnsi="Times New Roman"/>
    </w:rPr>
  </w:style>
  <w:style w:type="character" w:styleId="Refdenotaderodap">
    <w:name w:val="footnote reference"/>
    <w:rsid w:val="005F0A06"/>
    <w:rPr>
      <w:vertAlign w:val="superscript"/>
    </w:rPr>
  </w:style>
  <w:style w:type="table" w:styleId="Tabelacomgrade">
    <w:name w:val="Table Grid"/>
    <w:basedOn w:val="Tabelanormal"/>
    <w:uiPriority w:val="59"/>
    <w:rsid w:val="00EB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C7EE2"/>
    <w:pPr>
      <w:ind w:left="708"/>
    </w:pPr>
  </w:style>
  <w:style w:type="character" w:customStyle="1" w:styleId="Ttulo1Char">
    <w:name w:val="Título 1 Char"/>
    <w:link w:val="Ttulo1"/>
    <w:rsid w:val="00161914"/>
    <w:rPr>
      <w:rFonts w:ascii="Times New Roman" w:eastAsia="Times New Roman" w:hAnsi="Times New Roman"/>
      <w:b/>
      <w:bCs/>
      <w:sz w:val="24"/>
      <w:szCs w:val="24"/>
    </w:rPr>
  </w:style>
  <w:style w:type="paragraph" w:styleId="Textodebalo">
    <w:name w:val="Balloon Text"/>
    <w:basedOn w:val="Normal"/>
    <w:link w:val="TextodebaloChar"/>
    <w:uiPriority w:val="99"/>
    <w:semiHidden/>
    <w:unhideWhenUsed/>
    <w:rsid w:val="00D217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217FF"/>
    <w:rPr>
      <w:rFonts w:ascii="Segoe UI" w:hAnsi="Segoe UI" w:cs="Segoe UI"/>
      <w:sz w:val="18"/>
      <w:szCs w:val="18"/>
      <w:lang w:eastAsia="en-US"/>
    </w:rPr>
  </w:style>
  <w:style w:type="character" w:styleId="Hyperlink">
    <w:name w:val="Hyperlink"/>
    <w:basedOn w:val="Fontepargpadr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08676">
      <w:bodyDiv w:val="1"/>
      <w:marLeft w:val="0"/>
      <w:marRight w:val="0"/>
      <w:marTop w:val="0"/>
      <w:marBottom w:val="0"/>
      <w:divBdr>
        <w:top w:val="none" w:sz="0" w:space="0" w:color="auto"/>
        <w:left w:val="none" w:sz="0" w:space="0" w:color="auto"/>
        <w:bottom w:val="none" w:sz="0" w:space="0" w:color="auto"/>
        <w:right w:val="none" w:sz="0" w:space="0" w:color="auto"/>
      </w:divBdr>
    </w:div>
    <w:div w:id="470101877">
      <w:bodyDiv w:val="1"/>
      <w:marLeft w:val="0"/>
      <w:marRight w:val="0"/>
      <w:marTop w:val="0"/>
      <w:marBottom w:val="0"/>
      <w:divBdr>
        <w:top w:val="none" w:sz="0" w:space="0" w:color="auto"/>
        <w:left w:val="none" w:sz="0" w:space="0" w:color="auto"/>
        <w:bottom w:val="none" w:sz="0" w:space="0" w:color="auto"/>
        <w:right w:val="none" w:sz="0" w:space="0" w:color="auto"/>
      </w:divBdr>
    </w:div>
    <w:div w:id="628441573">
      <w:bodyDiv w:val="1"/>
      <w:marLeft w:val="0"/>
      <w:marRight w:val="0"/>
      <w:marTop w:val="0"/>
      <w:marBottom w:val="0"/>
      <w:divBdr>
        <w:top w:val="none" w:sz="0" w:space="0" w:color="auto"/>
        <w:left w:val="none" w:sz="0" w:space="0" w:color="auto"/>
        <w:bottom w:val="none" w:sz="0" w:space="0" w:color="auto"/>
        <w:right w:val="none" w:sz="0" w:space="0" w:color="auto"/>
      </w:divBdr>
    </w:div>
    <w:div w:id="17693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esquisa.apps.tcu.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98248CDCAB5A34E941FB83B06E8C452" ma:contentTypeVersion="51" ma:contentTypeDescription="Crie um novo documento." ma:contentTypeScope="" ma:versionID="488fa9420240e0e19e418b65c39bcd79">
  <xsd:schema xmlns:xsd="http://www.w3.org/2001/XMLSchema" xmlns:xs="http://www.w3.org/2001/XMLSchema" xmlns:p="http://schemas.microsoft.com/office/2006/metadata/properties" xmlns:ns1="http://schemas.microsoft.com/sharepoint/v3" xmlns:ns2="e3718376-4e92-4ff6-af16-fb096180aea3" xmlns:ns3="381ee611-f51f-4a36-8d42-e44f8919228b" targetNamespace="http://schemas.microsoft.com/office/2006/metadata/properties" ma:root="true" ma:fieldsID="d58e5a0af9ed2cc17e0d61d311337a89" ns1:_="" ns2:_="" ns3:_="">
    <xsd:import namespace="http://schemas.microsoft.com/sharepoint/v3"/>
    <xsd:import namespace="e3718376-4e92-4ff6-af16-fb096180aea3"/>
    <xsd:import namespace="381ee611-f51f-4a36-8d42-e44f8919228b"/>
    <xsd:element name="properties">
      <xsd:complexType>
        <xsd:sequence>
          <xsd:element name="documentManagement">
            <xsd:complexType>
              <xsd:all>
                <xsd:element ref="ns2:Status" minOccurs="0"/>
                <xsd:element ref="ns2:Fluxo_x0020_de_x0020_Aprova_x00e7__x00e3_o_x0020_de_x0020_Documentos" minOccurs="0"/>
                <xsd:element ref="ns2:Entrega" minOccurs="0"/>
                <xsd:element ref="ns2:Cliente" minOccurs="0"/>
                <xsd:element ref="ns1:PublishingStartDate" minOccurs="0"/>
                <xsd:element ref="ns1:PublishingExpirationDate" minOccurs="0"/>
                <xsd:element ref="ns3:AssuntodoDocumento" minOccurs="0"/>
                <xsd:element ref="ns3:TipodoDocumento" minOccurs="0"/>
                <xsd:element ref="ns2:Assunto_x0020_do_x0020_Documento_x003a_Assunto" minOccurs="0"/>
                <xsd:element ref="ns2:Assunto_x0020_do_x0020_Documento_x003a_Campo" minOccurs="0"/>
                <xsd:element ref="ns2:Tipo_x0020_do_x0020_Documento_x003a_G_x00ea_nero" minOccurs="0"/>
                <xsd:element ref="ns2:Tipo_x0020_do_x0020_Documento_x003a_Classe" minOccurs="0"/>
                <xsd:element ref="ns3:Entidade" minOccurs="0"/>
                <xsd:element ref="ns2:Processo" minOccurs="0"/>
                <xsd:element ref="ns3:Destinatario" minOccurs="0"/>
                <xsd:element ref="ns2:Destinat_x00e1_rio_x003a__x00d3_rgao" minOccurs="0"/>
                <xsd:element ref="ns2:Entregador"/>
                <xsd:element ref="ns2:Revisor"/>
                <xsd:element ref="ns2:Tipo_x0020_do_x0020_Documento_x003a_Esp_x00e9_cie" minOccurs="0"/>
                <xsd:element ref="ns2:NomeAlterado" minOccurs="0"/>
                <xsd:element ref="ns3:SharedWithUsers" minOccurs="0"/>
                <xsd:element ref="ns3:SharingHintHash" minOccurs="0"/>
                <xsd:element ref="ns3:SharedWithDetails" minOccurs="0"/>
                <xsd:element ref="ns2:Encaminhar_x0020_para_x0020_Entrega" minOccurs="0"/>
                <xsd:element ref="ns2:Habilitar_x0020_Mudan_x00e7_a_x0020_de_x0020_Nome" minOccurs="0"/>
                <xsd:element ref="ns3:LastSharedByUser" minOccurs="0"/>
                <xsd:element ref="ns3:LastSharedByTime"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718376-4e92-4ff6-af16-fb096180aea3" elementFormDefault="qualified">
    <xsd:import namespace="http://schemas.microsoft.com/office/2006/documentManagement/types"/>
    <xsd:import namespace="http://schemas.microsoft.com/office/infopath/2007/PartnerControls"/>
    <xsd:element name="Status" ma:index="8" nillable="true" ma:displayName="Status" ma:default="Em Desenvolvimento" ma:format="Dropdown" ma:internalName="Status">
      <xsd:simpleType>
        <xsd:restriction base="dms:Choice">
          <xsd:enumeration value="Em Desenvolvimento"/>
          <xsd:enumeration value="Em Revisão"/>
          <xsd:enumeration value="Em Entrega"/>
          <xsd:enumeration value="Em Correção do Criador"/>
          <xsd:enumeration value="Em Correção do Revisor"/>
          <xsd:enumeration value="Entregue"/>
          <xsd:enumeration value="Cancelado"/>
          <xsd:enumeration value="Adiado"/>
        </xsd:restriction>
      </xsd:simpleType>
    </xsd:element>
    <xsd:element name="Fluxo_x0020_de_x0020_Aprova_x00e7__x00e3_o_x0020_de_x0020_Documentos" ma:index="9" nillable="true" ma:displayName="Fluxo de Documentos" ma:format="Hyperlink" ma:internalName="Fluxo_x0020_de_x0020_Aprova_x00e7__x00e3_o_x0020_de_x0020_Documentos">
      <xsd:complexType>
        <xsd:complexContent>
          <xsd:extension base="dms:URL">
            <xsd:sequence>
              <xsd:element name="Url" type="dms:ValidUrl" minOccurs="0" nillable="true"/>
              <xsd:element name="Description" type="xsd:string" nillable="true"/>
            </xsd:sequence>
          </xsd:extension>
        </xsd:complexContent>
      </xsd:complexType>
    </xsd:element>
    <xsd:element name="Entrega" ma:index="10" nillable="true" ma:displayName="Entrega" ma:format="DateOnly" ma:internalName="Entrega">
      <xsd:simpleType>
        <xsd:restriction base="dms:DateTime"/>
      </xsd:simpleType>
    </xsd:element>
    <xsd:element name="Cliente" ma:index="11" nillable="true" ma:displayName="Cliente" ma:description="Indique o nome completo ou a sigla do cliente em favor de quem se realiza o documento ou, se não houver, o escritório." ma:internalName="Cliente">
      <xsd:simpleType>
        <xsd:restriction base="dms:Text">
          <xsd:maxLength value="255"/>
        </xsd:restriction>
      </xsd:simpleType>
    </xsd:element>
    <xsd:element name="Assunto_x0020_do_x0020_Documento_x003a_Assunto" ma:index="16" nillable="true" ma:displayName="Assunto do Documento:Assunto" ma:list="{43833cd5-331d-4000-8693-6473ec3c6426}" ma:internalName="Assunto_x0020_do_x0020_Documento_x003a_Assunto" ma:readOnly="true" ma:showField="Title" ma:web="381ee611-f51f-4a36-8d42-e44f8919228b">
      <xsd:simpleType>
        <xsd:restriction base="dms:Lookup"/>
      </xsd:simpleType>
    </xsd:element>
    <xsd:element name="Assunto_x0020_do_x0020_Documento_x003a_Campo" ma:index="17" nillable="true" ma:displayName="Assunto do Documento:Campo" ma:list="{43833cd5-331d-4000-8693-6473ec3c6426}" ma:internalName="Assunto_x0020_do_x0020_Documento_x003a_Campo" ma:readOnly="true" ma:showField="Campo" ma:web="381ee611-f51f-4a36-8d42-e44f8919228b">
      <xsd:simpleType>
        <xsd:restriction base="dms:Lookup"/>
      </xsd:simpleType>
    </xsd:element>
    <xsd:element name="Tipo_x0020_do_x0020_Documento_x003a_G_x00ea_nero" ma:index="18" nillable="true" ma:displayName="Tipo do Documento:Gênero" ma:list="{f834045d-1b98-4af9-a18e-d11c11bceac1}" ma:internalName="Tipo_x0020_do_x0020_Documento_x003a_G_x00ea_nero" ma:readOnly="true" ma:showField="Genero" ma:web="381ee611-f51f-4a36-8d42-e44f8919228b">
      <xsd:simpleType>
        <xsd:restriction base="dms:Lookup"/>
      </xsd:simpleType>
    </xsd:element>
    <xsd:element name="Tipo_x0020_do_x0020_Documento_x003a_Classe" ma:index="19" nillable="true" ma:displayName="Tipo do Documento:Classe" ma:list="{f834045d-1b98-4af9-a18e-d11c11bceac1}" ma:internalName="Tipo_x0020_do_x0020_Documento_x003a_Classe" ma:readOnly="true" ma:showField="Classe" ma:web="381ee611-f51f-4a36-8d42-e44f8919228b">
      <xsd:simpleType>
        <xsd:restriction base="dms:Lookup"/>
      </xsd:simpleType>
    </xsd:element>
    <xsd:element name="Processo" ma:index="21" nillable="true" ma:displayName="Processo" ma:description="Indique o número do processo" ma:internalName="Processo">
      <xsd:simpleType>
        <xsd:restriction base="dms:Text">
          <xsd:maxLength value="255"/>
        </xsd:restriction>
      </xsd:simpleType>
    </xsd:element>
    <xsd:element name="Destinat_x00e1_rio_x003a__x00d3_rgao" ma:index="23" nillable="true" ma:displayName="Destinatário:Órgao" ma:list="{6ad91ecd-9915-4046-a122-8a16adf60bae}" ma:internalName="Destinat_x00e1_rio_x003a__x00d3_rgao" ma:readOnly="true" ma:showField="Orgao" ma:web="381ee611-f51f-4a36-8d42-e44f8919228b">
      <xsd:simpleType>
        <xsd:restriction base="dms:Lookup"/>
      </xsd:simpleType>
    </xsd:element>
    <xsd:element name="Entregador" ma:index="24" ma:displayName="Entregador" ma:description="Indique o entregador previsto para o documento em desenvolvimento." ma:list="UserInfo" ma:SharePointGroup="0" ma:internalName="Entregad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or" ma:index="25" ma:displayName="Revisor" ma:description="Indique o revisor previsto para o documento em desenvolvimento." ma:list="UserInfo" ma:SharePointGroup="0" ma:internalName="Revis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ipo_x0020_do_x0020_Documento_x003a_Esp_x00e9_cie" ma:index="26" nillable="true" ma:displayName="Tipo do Documento:Espécie" ma:list="{f834045d-1b98-4af9-a18e-d11c11bceac1}" ma:internalName="Tipo_x0020_do_x0020_Documento_x003a_Esp_x00e9_cie" ma:readOnly="true" ma:showField="Especie" ma:web="381ee611-f51f-4a36-8d42-e44f8919228b">
      <xsd:simpleType>
        <xsd:restriction base="dms:Lookup"/>
      </xsd:simpleType>
    </xsd:element>
    <xsd:element name="NomeAlterado" ma:index="27" nillable="true" ma:displayName="NomeAlterado" ma:default="0" ma:internalName="NomeAlterado">
      <xsd:simpleType>
        <xsd:restriction base="dms:Boolean"/>
      </xsd:simpleType>
    </xsd:element>
    <xsd:element name="Encaminhar_x0020_para_x0020_Entrega" ma:index="31" nillable="true" ma:displayName="Encaminhar para Entrega" ma:internalName="Encaminhar_x0020_para_x0020_Entrega">
      <xsd:complexType>
        <xsd:complexContent>
          <xsd:extension base="dms:URL">
            <xsd:sequence>
              <xsd:element name="Url" type="dms:ValidUrl" minOccurs="0" nillable="true"/>
              <xsd:element name="Description" type="xsd:string" nillable="true"/>
            </xsd:sequence>
          </xsd:extension>
        </xsd:complexContent>
      </xsd:complexType>
    </xsd:element>
    <xsd:element name="Habilitar_x0020_Mudan_x00e7_a_x0020_de_x0020_Nome" ma:index="32" nillable="true" ma:displayName="Habilitar Mudança de Nome" ma:internalName="Habilitar_x0020_Mudan_x00e7_a_x0020_de_x0020_Nom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1ee611-f51f-4a36-8d42-e44f8919228b" elementFormDefault="qualified">
    <xsd:import namespace="http://schemas.microsoft.com/office/2006/documentManagement/types"/>
    <xsd:import namespace="http://schemas.microsoft.com/office/infopath/2007/PartnerControls"/>
    <xsd:element name="AssuntodoDocumento" ma:index="14" nillable="true" ma:displayName="Assunto do Documento" ma:description="Selecione o assunto de direito material do documento em desenvolvimento." ma:list="{43833cd5-331d-4000-8693-6473ec3c6426}" ma:internalName="AssuntodoDocumento" ma:showField="Rotulo" ma:web="381ee611-f51f-4a36-8d42-e44f8919228b">
      <xsd:simpleType>
        <xsd:restriction base="dms:Lookup"/>
      </xsd:simpleType>
    </xsd:element>
    <xsd:element name="TipodoDocumento" ma:index="15" nillable="true" ma:displayName="Tipo do Documento" ma:list="{f834045d-1b98-4af9-a18e-d11c11bceac1}" ma:internalName="TipodoDocumento" ma:readOnly="false" ma:showField="Title" ma:web="381ee611-f51f-4a36-8d42-e44f8919228b">
      <xsd:simpleType>
        <xsd:restriction base="dms:Lookup"/>
      </xsd:simpleType>
    </xsd:element>
    <xsd:element name="Entidade" ma:index="20" nillable="true" ma:displayName="Entidade" ma:description="Selecione a entidade a quem se vincula o cliente ou, se não houver, avulso." ma:list="{0530ef28-ea81-4d35-a44a-724592257bf6}" ma:internalName="Entidade" ma:readOnly="false" ma:showField="_x006c_ti4" ma:web="381ee611-f51f-4a36-8d42-e44f8919228b">
      <xsd:simpleType>
        <xsd:restriction base="dms:Lookup"/>
      </xsd:simpleType>
    </xsd:element>
    <xsd:element name="Destinatario" ma:index="22" nillable="true" ma:displayName="Destinatário" ma:description="Selecione o destinatário do documento" ma:list="{6ad91ecd-9915-4046-a122-8a16adf60bae}" ma:internalName="Destinatario" ma:readOnly="false" ma:showField="Title" ma:web="381ee611-f51f-4a36-8d42-e44f8919228b">
      <xsd:simpleType>
        <xsd:restriction base="dms:Lookup"/>
      </xsd:simpleType>
    </xsd:element>
    <xsd:element name="SharedWithUsers" ma:index="2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9" nillable="true" ma:displayName="Hash de Dica de Compartilhamento" ma:internalName="SharingHintHash" ma:readOnly="true">
      <xsd:simpleType>
        <xsd:restriction base="dms:Text"/>
      </xsd:simpleType>
    </xsd:element>
    <xsd:element name="SharedWithDetails" ma:index="30" nillable="true" ma:displayName="Detalhes de Compartilhado Com" ma:internalName="SharedWithDetails" ma:readOnly="true">
      <xsd:simpleType>
        <xsd:restriction base="dms:Note">
          <xsd:maxLength value="255"/>
        </xsd:restriction>
      </xsd:simpleType>
    </xsd:element>
    <xsd:element name="LastSharedByUser" ma:index="33" nillable="true" ma:displayName="Último Compartilhamento Por Usuário" ma:description="" ma:internalName="LastSharedByUser" ma:readOnly="true">
      <xsd:simpleType>
        <xsd:restriction base="dms:Note">
          <xsd:maxLength value="255"/>
        </xsd:restriction>
      </xsd:simpleType>
    </xsd:element>
    <xsd:element name="LastSharedByTime" ma:index="34" nillable="true" ma:displayName="Último Compartilhamento Por Tempo"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ntrega xmlns="e3718376-4e92-4ff6-af16-fb096180aea3" xsi:nil="true"/>
    <Entregador xmlns="e3718376-4e92-4ff6-af16-fb096180aea3">
      <UserInfo>
        <DisplayName>Julia Santos</DisplayName>
        <AccountId>2641</AccountId>
        <AccountType/>
      </UserInfo>
    </Entregador>
    <Status xmlns="e3718376-4e92-4ff6-af16-fb096180aea3">Em Revisão</Status>
    <Cliente xmlns="e3718376-4e92-4ff6-af16-fb096180aea3">SISEJUFE</Cliente>
    <Entidade xmlns="381ee611-f51f-4a36-8d42-e44f8919228b">21</Entidade>
    <Encaminhar_x0020_para_x0020_Entrega xmlns="e3718376-4e92-4ff6-af16-fb096180aea3">
      <Url xsi:nil="true"/>
      <Description xsi:nil="true"/>
    </Encaminhar_x0020_para_x0020_Entrega>
    <Destinatario xmlns="381ee611-f51f-4a36-8d42-e44f8919228b">8</Destinatario>
    <Habilitar_x0020_Mudan_x00e7_a_x0020_de_x0020_Nome xmlns="e3718376-4e92-4ff6-af16-fb096180aea3">
      <Url xsi:nil="true"/>
      <Description xsi:nil="true"/>
    </Habilitar_x0020_Mudan_x00e7_a_x0020_de_x0020_Nome>
    <PublishingExpirationDate xmlns="http://schemas.microsoft.com/sharepoint/v3" xsi:nil="true"/>
    <NomeAlterado xmlns="e3718376-4e92-4ff6-af16-fb096180aea3">true</NomeAlterado>
    <PublishingStartDate xmlns="http://schemas.microsoft.com/sharepoint/v3" xsi:nil="true"/>
    <AssuntodoDocumento xmlns="381ee611-f51f-4a36-8d42-e44f8919228b">85</AssuntodoDocumento>
    <Processo xmlns="e3718376-4e92-4ff6-af16-fb096180aea3" xsi:nil="true"/>
    <Fluxo_x0020_de_x0020_Aprova_x00e7__x00e3_o_x0020_de_x0020_Documentos xmlns="e3718376-4e92-4ff6-af16-fb096180aea3">
      <Url>https://servidoradv.sharepoint.com/causas-coletivas/_layouts/15/wrkstat.aspx?List=e3718376-4e92-4ff6-af16-fb096180aea3&amp;WorkflowInstanceName=d9f6f469-1ec0-4a74-8695-677b99ed74e2</Url>
      <Description>Revisão do Documento</Description>
    </Fluxo_x0020_de_x0020_Aprova_x00e7__x00e3_o_x0020_de_x0020_Documentos>
    <TipodoDocumento xmlns="381ee611-f51f-4a36-8d42-e44f8919228b">73</TipodoDocumento>
    <Revisor xmlns="e3718376-4e92-4ff6-af16-fb096180aea3">
      <UserInfo>
        <DisplayName>Letícia Kaufmann</DisplayName>
        <AccountId>1582</AccountId>
        <AccountType/>
      </UserInfo>
    </Reviso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980B83-7F8A-415B-B4DC-06790F612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718376-4e92-4ff6-af16-fb096180aea3"/>
    <ds:schemaRef ds:uri="381ee611-f51f-4a36-8d42-e44f89192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F9034-5942-44DD-B847-2C496AFD3BDD}">
  <ds:schemaRefs>
    <ds:schemaRef ds:uri="http://schemas.openxmlformats.org/officeDocument/2006/bibliography"/>
  </ds:schemaRefs>
</ds:datastoreItem>
</file>

<file path=customXml/itemProps3.xml><?xml version="1.0" encoding="utf-8"?>
<ds:datastoreItem xmlns:ds="http://schemas.openxmlformats.org/officeDocument/2006/customXml" ds:itemID="{75D1D4BF-AF52-438D-BA69-A2A876A39351}">
  <ds:schemaRefs>
    <ds:schemaRef ds:uri="http://schemas.microsoft.com/office/2006/metadata/properties"/>
    <ds:schemaRef ds:uri="http://schemas.microsoft.com/office/infopath/2007/PartnerControls"/>
    <ds:schemaRef ds:uri="e3718376-4e92-4ff6-af16-fb096180aea3"/>
    <ds:schemaRef ds:uri="381ee611-f51f-4a36-8d42-e44f8919228b"/>
    <ds:schemaRef ds:uri="http://schemas.microsoft.com/sharepoint/v3"/>
  </ds:schemaRefs>
</ds:datastoreItem>
</file>

<file path=customXml/itemProps4.xml><?xml version="1.0" encoding="utf-8"?>
<ds:datastoreItem xmlns:ds="http://schemas.openxmlformats.org/officeDocument/2006/customXml" ds:itemID="{EB21C575-415E-4BAA-9BE4-69ED2F7B99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14307</Words>
  <Characters>77260</Characters>
  <Application>Microsoft Office Word</Application>
  <DocSecurity>0</DocSecurity>
  <Lines>643</Lines>
  <Paragraphs>182</Paragraphs>
  <ScaleCrop>false</ScaleCrop>
  <Company>Microsoft</Company>
  <LinksUpToDate>false</LinksUpToDate>
  <CharactersWithSpaces>91385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DefAdm_GAE-FC_SISEJUFE(10-09-2020)</dc:title>
  <dc:subject/>
  <dc:creator>Jean P. Ruzzarin</dc:creator>
  <cp:keywords/>
  <cp:lastModifiedBy>Aracéli Rodrigues</cp:lastModifiedBy>
  <cp:revision>3</cp:revision>
  <cp:lastPrinted>2015-01-02T11:55:00Z</cp:lastPrinted>
  <dcterms:created xsi:type="dcterms:W3CDTF">2020-11-25T19:06:00Z</dcterms:created>
  <dcterms:modified xsi:type="dcterms:W3CDTF">2020-11-25T19:10:00Z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0x010100998248CDCAB5A34E941FB83B06E8C452</vt:lpwstr>
  </property>
</Properties>
</file>